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ind w:left="65"/>
        <w:rPr>
          <w:sz w:val="2"/>
          <w:szCs w:val="2"/>
        </w:rPr>
      </w:pPr>
      <w:r w:rsidDel="00000000" w:rsidR="00000000" w:rsidRPr="00000000">
        <w:rPr>
          <w:rtl w:val="0"/>
        </w:rPr>
      </w:r>
    </w:p>
    <w:tbl>
      <w:tblPr>
        <w:tblStyle w:val="Table1"/>
        <w:tblW w:w="1030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600"/>
      </w:tblPr>
      <w:tblGrid>
        <w:gridCol w:w="5370"/>
        <w:gridCol w:w="4935"/>
        <w:tblGridChange w:id="0">
          <w:tblGrid>
            <w:gridCol w:w="5370"/>
            <w:gridCol w:w="4935"/>
          </w:tblGrid>
        </w:tblGridChange>
      </w:tblGrid>
      <w:tr>
        <w:trPr>
          <w:cantSplit w:val="0"/>
          <w:trHeight w:val="1740" w:hRule="atLeast"/>
          <w:tblHeader w:val="0"/>
        </w:trPr>
        <w:tc>
          <w:tcPr>
            <w:gridSpan w:val="2"/>
            <w:tcBorders>
              <w:right w:color="000000" w:space="0" w:sz="0" w:val="nil"/>
            </w:tcBorders>
            <w:shd w:fill="3d85c6" w:val="clear"/>
            <w:tcMar>
              <w:top w:w="181.0" w:type="dxa"/>
              <w:left w:w="181.0" w:type="dxa"/>
              <w:bottom w:w="181.0" w:type="dxa"/>
              <w:right w:w="181.0" w:type="dxa"/>
            </w:tcMar>
          </w:tcPr>
          <w:p w:rsidR="00000000" w:rsidDel="00000000" w:rsidP="00000000" w:rsidRDefault="00000000" w:rsidRPr="00000000" w14:paraId="00000003">
            <w:pPr>
              <w:keepNext w:val="1"/>
              <w:keepLines w:val="1"/>
              <w:spacing w:after="60" w:line="276" w:lineRule="auto"/>
              <w:rPr>
                <w:b w:val="1"/>
                <w:color w:val="ffffff"/>
                <w:sz w:val="48"/>
                <w:szCs w:val="48"/>
              </w:rPr>
            </w:pPr>
            <w:bookmarkStart w:colFirst="0" w:colLast="0" w:name="_heading=h.gjdgxs" w:id="0"/>
            <w:bookmarkEnd w:id="0"/>
            <w:r w:rsidDel="00000000" w:rsidR="00000000" w:rsidRPr="00000000">
              <w:rPr>
                <w:b w:val="1"/>
                <w:color w:val="ffffff"/>
                <w:sz w:val="48"/>
                <w:szCs w:val="48"/>
                <w:rtl w:val="0"/>
              </w:rPr>
              <w:t xml:space="preserve">“Rachat de caution” Insurance </w:t>
            </w:r>
          </w:p>
          <w:p w:rsidR="00000000" w:rsidDel="00000000" w:rsidP="00000000" w:rsidRDefault="00000000" w:rsidRPr="00000000" w14:paraId="00000004">
            <w:pPr>
              <w:pStyle w:val="Subtitle"/>
              <w:rPr/>
            </w:pPr>
            <w:bookmarkStart w:colFirst="0" w:colLast="0" w:name="_heading=h.30j0zll" w:id="1"/>
            <w:bookmarkEnd w:id="1"/>
            <w:r w:rsidDel="00000000" w:rsidR="00000000" w:rsidRPr="00000000">
              <w:rPr>
                <w:rtl w:val="0"/>
              </w:rPr>
              <w:t xml:space="preserve">Insurance product information document</w:t>
            </w:r>
            <w:r w:rsidDel="00000000" w:rsidR="00000000" w:rsidRPr="00000000">
              <w:rPr>
                <w:rtl w:val="0"/>
              </w:rPr>
            </w:r>
          </w:p>
          <w:p w:rsidR="00000000" w:rsidDel="00000000" w:rsidP="00000000" w:rsidRDefault="00000000" w:rsidRPr="00000000" w14:paraId="00000005">
            <w:pPr>
              <w:spacing w:before="120" w:line="276" w:lineRule="auto"/>
              <w:ind w:left="0" w:firstLine="0"/>
              <w:rPr>
                <w:color w:val="ffffff"/>
              </w:rPr>
            </w:pPr>
            <w:r w:rsidDel="00000000" w:rsidR="00000000" w:rsidRPr="00000000">
              <w:rPr>
                <w:color w:val="ffffff"/>
                <w:rtl w:val="0"/>
              </w:rPr>
              <w:t xml:space="preserve">Insurance company</w:t>
            </w:r>
            <w:r w:rsidDel="00000000" w:rsidR="00000000" w:rsidRPr="00000000">
              <w:rPr>
                <w:rFonts w:ascii="Arial" w:cs="Arial" w:eastAsia="Arial" w:hAnsi="Arial"/>
                <w:color w:val="ffffff"/>
                <w:sz w:val="20"/>
                <w:szCs w:val="20"/>
                <w:rtl w:val="0"/>
              </w:rPr>
              <w:t xml:space="preserve">: </w:t>
            </w:r>
            <w:r w:rsidDel="00000000" w:rsidR="00000000" w:rsidRPr="00000000">
              <w:rPr>
                <w:color w:val="ffffff"/>
                <w:rtl w:val="0"/>
              </w:rPr>
              <w:t xml:space="preserve">Seyna, SA with a registered capital of €1,115,800.42 having its registered offices at 20 bis rue Louis-Philippe, 92200 Neuilly sur Seine, registered in the Trade and Companies Register of Nanterre under the number 843 974 635, an undertaking governed by the Insurance Code.</w:t>
            </w:r>
          </w:p>
          <w:p w:rsidR="00000000" w:rsidDel="00000000" w:rsidP="00000000" w:rsidRDefault="00000000" w:rsidRPr="00000000" w14:paraId="00000006">
            <w:pPr>
              <w:spacing w:line="276" w:lineRule="auto"/>
              <w:ind w:left="0" w:firstLine="0"/>
              <w:rPr>
                <w:rFonts w:ascii="Arial" w:cs="Arial" w:eastAsia="Arial" w:hAnsi="Arial"/>
                <w:color w:val="ffffff"/>
                <w:sz w:val="20"/>
                <w:szCs w:val="20"/>
              </w:rPr>
            </w:pPr>
            <w:r w:rsidDel="00000000" w:rsidR="00000000" w:rsidRPr="00000000">
              <w:rPr>
                <w:color w:val="ffffff"/>
                <w:rtl w:val="0"/>
              </w:rPr>
              <w:t xml:space="preserve">Product: Rachat de caution Click &amp; Boat</w:t>
            </w:r>
            <w:r w:rsidDel="00000000" w:rsidR="00000000" w:rsidRPr="00000000">
              <w:rPr>
                <w:rtl w:val="0"/>
              </w:rPr>
            </w:r>
          </w:p>
        </w:tc>
      </w:tr>
      <w:tr>
        <w:trPr>
          <w:cantSplit w:val="0"/>
          <w:trHeight w:val="460" w:hRule="atLeast"/>
          <w:tblHeader w:val="0"/>
        </w:trPr>
        <w:tc>
          <w:tcPr>
            <w:gridSpan w:val="2"/>
            <w:tcBorders>
              <w:right w:color="000000" w:space="0" w:sz="0" w:val="nil"/>
            </w:tcBorders>
            <w:tcMar>
              <w:top w:w="90.0" w:type="dxa"/>
              <w:left w:w="90.0" w:type="dxa"/>
              <w:bottom w:w="90.0" w:type="dxa"/>
              <w:right w:w="90.0" w:type="dxa"/>
            </w:tcMar>
          </w:tcPr>
          <w:p w:rsidR="00000000" w:rsidDel="00000000" w:rsidP="00000000" w:rsidRDefault="00000000" w:rsidRPr="00000000" w14:paraId="00000008">
            <w:pPr>
              <w:spacing w:before="12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information document is a summary of the main heads of cover and exclusions of the insurance contract No.</w:t>
            </w:r>
            <w:r w:rsidDel="00000000" w:rsidR="00000000" w:rsidRPr="00000000">
              <w:rPr>
                <w:rFonts w:ascii="Arial" w:cs="Arial" w:eastAsia="Arial" w:hAnsi="Arial"/>
                <w:sz w:val="20"/>
                <w:szCs w:val="20"/>
                <w:rtl w:val="0"/>
              </w:rPr>
              <w:t xml:space="preserve">2sn46 “Rachat de caution” for which the complete information notice is available on the Click &amp; Boat website and which will be sent to you by e-mail after confirmation of your subscription. It does not take your specific needs and requests into account.</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keepNext w:val="1"/>
              <w:keepLines w:val="1"/>
              <w:spacing w:after="120" w:lineRule="auto"/>
              <w:ind w:left="0" w:firstLine="0"/>
              <w:rPr>
                <w:b w:val="1"/>
                <w:sz w:val="28"/>
                <w:szCs w:val="28"/>
              </w:rPr>
            </w:pPr>
            <w:bookmarkStart w:colFirst="0" w:colLast="0" w:name="_heading=h.1fob9te" w:id="2"/>
            <w:bookmarkEnd w:id="2"/>
            <w:r w:rsidDel="00000000" w:rsidR="00000000" w:rsidRPr="00000000">
              <w:rPr>
                <w:b w:val="1"/>
                <w:sz w:val="28"/>
                <w:szCs w:val="28"/>
                <w:rtl w:val="0"/>
              </w:rPr>
              <w:t xml:space="preserve">What is this type of insurance?</w:t>
            </w:r>
          </w:p>
          <w:p w:rsidR="00000000" w:rsidDel="00000000" w:rsidP="00000000" w:rsidRDefault="00000000" w:rsidRPr="00000000" w14:paraId="0000000B">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sz w:val="20"/>
                <w:szCs w:val="20"/>
                <w:rtl w:val="0"/>
              </w:rPr>
              <w:t xml:space="preserve"> "Rachat de caution" insurance is a facultative-subscription collective insurance policy which is intended to reimburse part of the deposit deducted under a boat rental contract and related to damages observed at the end of the rental period. </w:t>
            </w:r>
          </w:p>
        </w:tc>
      </w:tr>
      <w:tr>
        <w:trPr>
          <w:cantSplit w:val="0"/>
          <w:trHeight w:val="460" w:hRule="atLeast"/>
          <w:tblHeader w:val="0"/>
        </w:trPr>
        <w:tc>
          <w:tcPr>
            <w:vMerge w:val="restart"/>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0D">
            <w:pPr>
              <w:keepNext w:val="1"/>
              <w:keepLines w:val="1"/>
              <w:spacing w:after="120" w:lineRule="auto"/>
              <w:rPr>
                <w:b w:val="1"/>
                <w:sz w:val="28"/>
                <w:szCs w:val="28"/>
              </w:rPr>
            </w:pPr>
            <w:bookmarkStart w:colFirst="0" w:colLast="0" w:name="_heading=h.3znysh7" w:id="3"/>
            <w:bookmarkEnd w:id="3"/>
            <w:r w:rsidDel="00000000" w:rsidR="00000000" w:rsidRPr="00000000">
              <w:rPr>
                <w:b w:val="1"/>
                <w:sz w:val="28"/>
                <w:szCs w:val="28"/>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57150</wp:posOffset>
                  </wp:positionV>
                  <wp:extent cx="391372" cy="409575"/>
                  <wp:effectExtent b="0" l="0" r="0" t="0"/>
                  <wp:wrapSquare wrapText="bothSides" distB="57150" distT="57150" distL="57150" distR="57150"/>
                  <wp:docPr id="2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91372" cy="409575"/>
                          </a:xfrm>
                          <a:prstGeom prst="rect"/>
                          <a:ln/>
                        </pic:spPr>
                      </pic:pic>
                    </a:graphicData>
                  </a:graphic>
                </wp:anchor>
              </w:drawing>
            </w:r>
          </w:p>
          <w:p w:rsidR="00000000" w:rsidDel="00000000" w:rsidP="00000000" w:rsidRDefault="00000000" w:rsidRPr="00000000" w14:paraId="0000000E">
            <w:pPr>
              <w:keepNext w:val="1"/>
              <w:keepLines w:val="1"/>
              <w:spacing w:after="120" w:lineRule="auto"/>
              <w:ind w:left="566" w:right="229" w:firstLine="65"/>
              <w:rPr>
                <w:b w:val="1"/>
                <w:sz w:val="28"/>
                <w:szCs w:val="28"/>
              </w:rPr>
            </w:pPr>
            <w:bookmarkStart w:colFirst="0" w:colLast="0" w:name="_heading=h.2et92p0" w:id="4"/>
            <w:bookmarkEnd w:id="4"/>
            <w:r w:rsidDel="00000000" w:rsidR="00000000" w:rsidRPr="00000000">
              <w:rPr>
                <w:b w:val="1"/>
                <w:sz w:val="28"/>
                <w:szCs w:val="28"/>
                <w:rtl w:val="0"/>
              </w:rPr>
              <w:t xml:space="preserve"> What is insured?</w:t>
            </w:r>
          </w:p>
          <w:p w:rsidR="00000000" w:rsidDel="00000000" w:rsidP="00000000" w:rsidRDefault="00000000" w:rsidRPr="00000000" w14:paraId="0000000F">
            <w:pPr>
              <w:spacing w:before="120" w:lineRule="auto"/>
              <w:ind w:left="0" w:right="149" w:firstLine="0"/>
              <w:jc w:val="both"/>
              <w:rPr>
                <w:rFonts w:ascii="Arial" w:cs="Arial" w:eastAsia="Arial" w:hAnsi="Arial"/>
                <w:i w:val="1"/>
                <w:sz w:val="18"/>
                <w:szCs w:val="18"/>
              </w:rPr>
            </w:pPr>
            <w:r w:rsidDel="00000000" w:rsidR="00000000" w:rsidRPr="00000000">
              <w:rPr>
                <w:rFonts w:ascii="Arial" w:cs="Arial" w:eastAsia="Arial" w:hAnsi="Arial"/>
                <w:i w:val="1"/>
                <w:sz w:val="20"/>
                <w:szCs w:val="20"/>
                <w:rtl w:val="0"/>
              </w:rPr>
              <w:t xml:space="preserve">The heads of cover preceded by a tick </w:t>
            </w:r>
            <w:r w:rsidDel="00000000" w:rsidR="00000000" w:rsidRPr="00000000">
              <w:rPr>
                <w:rFonts w:ascii="Arial" w:cs="Arial" w:eastAsia="Arial" w:hAnsi="Arial"/>
                <w:i w:val="1"/>
                <w:sz w:val="20"/>
                <w:szCs w:val="20"/>
              </w:rPr>
              <w:drawing>
                <wp:inline distB="0" distT="0" distL="0" distR="0">
                  <wp:extent cx="129231" cy="144000"/>
                  <wp:effectExtent b="0" l="0" r="0" t="0"/>
                  <wp:docPr id="2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9231" cy="144000"/>
                          </a:xfrm>
                          <a:prstGeom prst="rect"/>
                          <a:ln/>
                        </pic:spPr>
                      </pic:pic>
                    </a:graphicData>
                  </a:graphic>
                </wp:inline>
              </w:drawing>
            </w:r>
            <w:r w:rsidDel="00000000" w:rsidR="00000000" w:rsidRPr="00000000">
              <w:rPr>
                <w:rFonts w:ascii="Arial" w:cs="Arial" w:eastAsia="Arial" w:hAnsi="Arial"/>
                <w:i w:val="1"/>
                <w:sz w:val="20"/>
                <w:szCs w:val="20"/>
                <w:rtl w:val="0"/>
              </w:rPr>
              <w:t xml:space="preserve"> are systematically provided for in the contract.</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4"/>
              </w:numPr>
              <w:ind w:left="566" w:right="22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Reimbursement of part of the deposit</w:t>
            </w:r>
          </w:p>
          <w:p w:rsidR="00000000" w:rsidDel="00000000" w:rsidP="00000000" w:rsidRDefault="00000000" w:rsidRPr="00000000" w14:paraId="00000012">
            <w:pPr>
              <w:ind w:left="0" w:right="229" w:firstLine="0"/>
              <w:rPr/>
            </w:pP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Caps and limits</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tl w:val="0"/>
              </w:rPr>
              <w:t xml:space="preserve">1 (one) single claim per insurance period, up to the amount of the deposit taken as part of the reservation, less a deductible of 20% of the amount taken, up to a maximum of 5,000 euros including tax.</w:t>
            </w:r>
          </w:p>
          <w:p w:rsidR="00000000" w:rsidDel="00000000" w:rsidP="00000000" w:rsidRDefault="00000000" w:rsidRPr="00000000" w14:paraId="00000014">
            <w:pPr>
              <w:ind w:left="0" w:firstLine="0"/>
              <w:jc w:val="both"/>
              <w:rPr/>
            </w:pPr>
            <w:r w:rsidDel="00000000" w:rsidR="00000000" w:rsidRPr="00000000">
              <w:rPr>
                <w:rFonts w:ascii="Arial" w:cs="Arial" w:eastAsia="Arial" w:hAnsi="Arial"/>
                <w:sz w:val="20"/>
                <w:szCs w:val="20"/>
                <w:highlight w:val="yellow"/>
                <w:rtl w:val="0"/>
              </w:rPr>
              <w:br w:type="textWrapping"/>
            </w:r>
            <w:r w:rsidDel="00000000" w:rsidR="00000000" w:rsidRPr="00000000">
              <w:rPr>
                <w:rFonts w:ascii="Arial" w:cs="Arial" w:eastAsia="Arial" w:hAnsi="Arial"/>
                <w:sz w:val="20"/>
                <w:szCs w:val="20"/>
                <w:rtl w:val="0"/>
              </w:rPr>
              <w:t xml:space="preserve">The amount of the claim must not be less than €200 all taxes included. Claims below this amount will not be covered.</w:t>
            </w:r>
            <w:r w:rsidDel="00000000" w:rsidR="00000000" w:rsidRPr="00000000">
              <w:rPr>
                <w:rFonts w:ascii="Arial" w:cs="Arial" w:eastAsia="Arial" w:hAnsi="Arial"/>
                <w:b w:val="1"/>
                <w:rtl w:val="0"/>
              </w:rPr>
              <w:t xml:space="preserve"> </w:t>
            </w: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5">
            <w:pPr>
              <w:keepNext w:val="1"/>
              <w:keepLines w:val="1"/>
              <w:spacing w:after="120" w:lineRule="auto"/>
              <w:ind w:left="566" w:firstLine="65"/>
              <w:rPr/>
            </w:pPr>
            <w:bookmarkStart w:colFirst="0" w:colLast="0" w:name="_heading=h.tyjcwt" w:id="5"/>
            <w:bookmarkEnd w:id="5"/>
            <w:r w:rsidDel="00000000" w:rsidR="00000000" w:rsidRPr="00000000">
              <w:rPr>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66675</wp:posOffset>
                  </wp:positionV>
                  <wp:extent cx="377904" cy="394335"/>
                  <wp:effectExtent b="0" l="0" r="0" t="0"/>
                  <wp:wrapSquare wrapText="bothSides" distB="57150" distT="57150" distL="57150" distR="57150"/>
                  <wp:docPr id="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7904" cy="394335"/>
                          </a:xfrm>
                          <a:prstGeom prst="rect"/>
                          <a:ln/>
                        </pic:spPr>
                      </pic:pic>
                    </a:graphicData>
                  </a:graphic>
                </wp:anchor>
              </w:drawing>
            </w:r>
          </w:p>
          <w:p w:rsidR="00000000" w:rsidDel="00000000" w:rsidP="00000000" w:rsidRDefault="00000000" w:rsidRPr="00000000" w14:paraId="00000016">
            <w:pPr>
              <w:keepNext w:val="1"/>
              <w:keepLines w:val="1"/>
              <w:spacing w:after="120" w:lineRule="auto"/>
              <w:ind w:left="566" w:right="225" w:firstLine="65"/>
              <w:rPr/>
            </w:pPr>
            <w:bookmarkStart w:colFirst="0" w:colLast="0" w:name="_heading=h.3dy6vkm" w:id="6"/>
            <w:bookmarkEnd w:id="6"/>
            <w:r w:rsidDel="00000000" w:rsidR="00000000" w:rsidRPr="00000000">
              <w:rPr>
                <w:b w:val="1"/>
                <w:sz w:val="28"/>
                <w:szCs w:val="28"/>
                <w:rtl w:val="0"/>
              </w:rPr>
              <w:t xml:space="preserve">What is not insured?</w:t>
            </w:r>
            <w:r w:rsidDel="00000000" w:rsidR="00000000" w:rsidRPr="00000000">
              <w:rPr>
                <w:rtl w:val="0"/>
              </w:rPr>
            </w:r>
          </w:p>
          <w:p w:rsidR="00000000" w:rsidDel="00000000" w:rsidP="00000000" w:rsidRDefault="00000000" w:rsidRPr="00000000" w14:paraId="00000017">
            <w:pPr>
              <w:numPr>
                <w:ilvl w:val="0"/>
                <w:numId w:val="1"/>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boats in competition;</w:t>
            </w:r>
            <w:r w:rsidDel="00000000" w:rsidR="00000000" w:rsidRPr="00000000">
              <w:rPr>
                <w:rtl w:val="0"/>
              </w:rPr>
            </w:r>
          </w:p>
          <w:p w:rsidR="00000000" w:rsidDel="00000000" w:rsidP="00000000" w:rsidRDefault="00000000" w:rsidRPr="00000000" w14:paraId="00000018">
            <w:pPr>
              <w:numPr>
                <w:ilvl w:val="0"/>
                <w:numId w:val="1"/>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ancillary boat equipment (beeper, tender, tender engine).</w:t>
            </w:r>
          </w:p>
        </w:tc>
      </w:tr>
      <w:tr>
        <w:trPr>
          <w:cantSplit w:val="0"/>
          <w:trHeight w:val="420" w:hRule="atLeast"/>
          <w:tblHeader w:val="0"/>
        </w:trPr>
        <w:tc>
          <w:tcPr>
            <w:vMerge w:val="continue"/>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19">
            <w:pPr>
              <w:widowControl w:val="0"/>
              <w:spacing w:line="276" w:lineRule="auto"/>
              <w:ind w:left="0" w:firstLine="0"/>
              <w:rPr>
                <w:rFonts w:ascii="Arial" w:cs="Arial" w:eastAsia="Arial" w:hAnsi="Arial"/>
                <w:sz w:val="20"/>
                <w:szCs w:val="20"/>
              </w:rPr>
            </w:pP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A">
            <w:pPr>
              <w:keepNext w:val="1"/>
              <w:keepLines w:val="1"/>
              <w:spacing w:after="120" w:lineRule="auto"/>
              <w:ind w:left="566" w:right="219" w:firstLine="65"/>
              <w:rPr>
                <w:b w:val="1"/>
                <w:sz w:val="28"/>
                <w:szCs w:val="28"/>
              </w:rPr>
            </w:pPr>
            <w:bookmarkStart w:colFirst="0" w:colLast="0" w:name="_heading=h.1t3h5sf" w:id="7"/>
            <w:bookmarkEnd w:id="7"/>
            <w:r w:rsidDel="00000000" w:rsidR="00000000" w:rsidRPr="00000000">
              <w:rPr>
                <w:rtl w:val="0"/>
              </w:rPr>
              <w:t xml:space="preserve"> </w:t>
            </w:r>
            <w:r w:rsidDel="00000000" w:rsidR="00000000" w:rsidRPr="00000000">
              <w:rPr>
                <w:b w:val="1"/>
                <w:sz w:val="28"/>
                <w:szCs w:val="28"/>
                <w:rtl w:val="0"/>
              </w:rPr>
              <w:t xml:space="preserve">Are there any exclusions to the cover?</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57150</wp:posOffset>
                  </wp:positionV>
                  <wp:extent cx="358140" cy="373380"/>
                  <wp:effectExtent b="0" l="0" r="0" t="0"/>
                  <wp:wrapSquare wrapText="bothSides" distB="57150" distT="57150" distL="57150" distR="57150"/>
                  <wp:docPr id="2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58140" cy="373380"/>
                          </a:xfrm>
                          <a:prstGeom prst="rect"/>
                          <a:ln/>
                        </pic:spPr>
                      </pic:pic>
                    </a:graphicData>
                  </a:graphic>
                </wp:anchor>
              </w:drawing>
            </w:r>
          </w:p>
          <w:p w:rsidR="00000000" w:rsidDel="00000000" w:rsidP="00000000" w:rsidRDefault="00000000" w:rsidRPr="00000000" w14:paraId="0000001B">
            <w:pPr>
              <w:ind w:left="566" w:right="21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main exclusions under your contract are:</w:t>
            </w:r>
            <w:r w:rsidDel="00000000" w:rsidR="00000000" w:rsidRPr="00000000">
              <w:rPr>
                <w:rtl w:val="0"/>
              </w:rPr>
            </w:r>
          </w:p>
          <w:p w:rsidR="00000000" w:rsidDel="00000000" w:rsidP="00000000" w:rsidRDefault="00000000" w:rsidRPr="00000000" w14:paraId="0000001C">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the professional use of the boat;</w:t>
            </w:r>
            <w:r w:rsidDel="00000000" w:rsidR="00000000" w:rsidRPr="00000000">
              <w:rPr>
                <w:rtl w:val="0"/>
              </w:rPr>
            </w:r>
          </w:p>
          <w:p w:rsidR="00000000" w:rsidDel="00000000" w:rsidP="00000000" w:rsidRDefault="00000000" w:rsidRPr="00000000" w14:paraId="0000001D">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the boat breakdown;</w:t>
            </w:r>
            <w:r w:rsidDel="00000000" w:rsidR="00000000" w:rsidRPr="00000000">
              <w:rPr>
                <w:rtl w:val="0"/>
              </w:rPr>
            </w:r>
          </w:p>
          <w:p w:rsidR="00000000" w:rsidDel="00000000" w:rsidP="00000000" w:rsidRDefault="00000000" w:rsidRPr="00000000" w14:paraId="0000001E">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the theft of equipment and fittings;</w:t>
            </w:r>
            <w:r w:rsidDel="00000000" w:rsidR="00000000" w:rsidRPr="00000000">
              <w:rPr>
                <w:rtl w:val="0"/>
              </w:rPr>
            </w:r>
          </w:p>
          <w:p w:rsidR="00000000" w:rsidDel="00000000" w:rsidP="00000000" w:rsidRDefault="00000000" w:rsidRPr="00000000" w14:paraId="0000001F">
            <w:pPr>
              <w:numPr>
                <w:ilvl w:val="0"/>
                <w:numId w:val="5"/>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the neglect.</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0">
            <w:pPr>
              <w:keepNext w:val="1"/>
              <w:keepLines w:val="1"/>
              <w:spacing w:after="120" w:lineRule="auto"/>
              <w:rPr>
                <w:b w:val="1"/>
                <w:sz w:val="28"/>
                <w:szCs w:val="28"/>
              </w:rPr>
            </w:pPr>
            <w:bookmarkStart w:colFirst="0" w:colLast="0" w:name="_heading=h.4d34og8" w:id="8"/>
            <w:bookmarkEnd w:id="8"/>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85725</wp:posOffset>
                  </wp:positionH>
                  <wp:positionV relativeFrom="paragraph">
                    <wp:posOffset>57150</wp:posOffset>
                  </wp:positionV>
                  <wp:extent cx="381173" cy="405765"/>
                  <wp:effectExtent b="0" l="0" r="0" t="0"/>
                  <wp:wrapSquare wrapText="bothSides" distB="57150" distT="57150" distL="57150" distR="57150"/>
                  <wp:docPr id="27"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81173" cy="405765"/>
                          </a:xfrm>
                          <a:prstGeom prst="rect"/>
                          <a:ln/>
                        </pic:spPr>
                      </pic:pic>
                    </a:graphicData>
                  </a:graphic>
                </wp:anchor>
              </w:drawing>
            </w:r>
          </w:p>
          <w:p w:rsidR="00000000" w:rsidDel="00000000" w:rsidP="00000000" w:rsidRDefault="00000000" w:rsidRPr="00000000" w14:paraId="00000021">
            <w:pPr>
              <w:keepNext w:val="1"/>
              <w:keepLines w:val="1"/>
              <w:spacing w:after="120" w:lineRule="auto"/>
              <w:ind w:right="203"/>
              <w:rPr>
                <w:b w:val="1"/>
                <w:sz w:val="28"/>
                <w:szCs w:val="28"/>
              </w:rPr>
            </w:pPr>
            <w:bookmarkStart w:colFirst="0" w:colLast="0" w:name="_heading=h.2s8eyo1" w:id="9"/>
            <w:bookmarkEnd w:id="9"/>
            <w:r w:rsidDel="00000000" w:rsidR="00000000" w:rsidRPr="00000000">
              <w:rPr>
                <w:b w:val="1"/>
                <w:sz w:val="28"/>
                <w:szCs w:val="28"/>
                <w:rtl w:val="0"/>
              </w:rPr>
              <w:t xml:space="preserve">Where am I covered?</w:t>
            </w:r>
          </w:p>
          <w:p w:rsidR="00000000" w:rsidDel="00000000" w:rsidP="00000000" w:rsidRDefault="00000000" w:rsidRPr="00000000" w14:paraId="00000022">
            <w:pPr>
              <w:numPr>
                <w:ilvl w:val="0"/>
                <w:numId w:val="2"/>
              </w:numPr>
              <w:spacing w:before="120" w:lineRule="auto"/>
              <w:ind w:left="720" w:right="62.00787401574928" w:hanging="360"/>
              <w:jc w:val="both"/>
            </w:pPr>
            <w:r w:rsidDel="00000000" w:rsidR="00000000" w:rsidRPr="00000000">
              <w:rPr>
                <w:rFonts w:ascii="Arial" w:cs="Arial" w:eastAsia="Arial" w:hAnsi="Arial"/>
                <w:sz w:val="20"/>
                <w:szCs w:val="20"/>
                <w:rtl w:val="0"/>
              </w:rPr>
              <w:t xml:space="preserve">The Guarantee is acquired by the subscriber for claims occurring anywhere in the world. However, compensation will be paid in France and in euros. The Insurer will not pay the equivalent in the currency of the insured's country of residence, nor any bank charges levied by the insured's bank.</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4">
            <w:pPr>
              <w:keepNext w:val="1"/>
              <w:keepLines w:val="1"/>
              <w:spacing w:after="120" w:lineRule="auto"/>
              <w:ind w:left="566" w:hanging="425"/>
              <w:rPr>
                <w:b w:val="1"/>
                <w:sz w:val="28"/>
                <w:szCs w:val="28"/>
              </w:rPr>
            </w:pPr>
            <w:bookmarkStart w:colFirst="0" w:colLast="0" w:name="_heading=h.17dp8vu" w:id="10"/>
            <w:bookmarkEnd w:id="10"/>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95250</wp:posOffset>
                  </wp:positionV>
                  <wp:extent cx="394335" cy="400695"/>
                  <wp:effectExtent b="0" l="0" r="0" t="0"/>
                  <wp:wrapSquare wrapText="bothSides" distB="57150" distT="57150" distL="57150" distR="57150"/>
                  <wp:docPr id="2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94335" cy="400695"/>
                          </a:xfrm>
                          <a:prstGeom prst="rect"/>
                          <a:ln/>
                        </pic:spPr>
                      </pic:pic>
                    </a:graphicData>
                  </a:graphic>
                </wp:anchor>
              </w:drawing>
            </w:r>
          </w:p>
          <w:p w:rsidR="00000000" w:rsidDel="00000000" w:rsidP="00000000" w:rsidRDefault="00000000" w:rsidRPr="00000000" w14:paraId="00000025">
            <w:pPr>
              <w:keepNext w:val="1"/>
              <w:keepLines w:val="1"/>
              <w:spacing w:after="120" w:lineRule="auto"/>
              <w:ind w:left="566" w:right="203" w:hanging="425"/>
              <w:rPr>
                <w:b w:val="1"/>
                <w:sz w:val="28"/>
                <w:szCs w:val="28"/>
              </w:rPr>
            </w:pPr>
            <w:bookmarkStart w:colFirst="0" w:colLast="0" w:name="_heading=h.3rdcrjn" w:id="11"/>
            <w:bookmarkEnd w:id="11"/>
            <w:r w:rsidDel="00000000" w:rsidR="00000000" w:rsidRPr="00000000">
              <w:rPr>
                <w:b w:val="1"/>
                <w:sz w:val="28"/>
                <w:szCs w:val="28"/>
                <w:rtl w:val="0"/>
              </w:rPr>
              <w:t xml:space="preserve">What are my obligations?</w:t>
            </w:r>
          </w:p>
          <w:p w:rsidR="00000000" w:rsidDel="00000000" w:rsidP="00000000" w:rsidRDefault="00000000" w:rsidRPr="00000000" w14:paraId="00000026">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 the time of subscription :</w:t>
            </w:r>
          </w:p>
          <w:p w:rsidR="00000000" w:rsidDel="00000000" w:rsidP="00000000" w:rsidRDefault="00000000" w:rsidRPr="00000000" w14:paraId="00000027">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pay the insurance premium</w:t>
            </w:r>
          </w:p>
          <w:p w:rsidR="00000000" w:rsidDel="00000000" w:rsidP="00000000" w:rsidRDefault="00000000" w:rsidRPr="00000000" w14:paraId="00000028">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While covered :</w:t>
            </w:r>
          </w:p>
          <w:p w:rsidR="00000000" w:rsidDel="00000000" w:rsidP="00000000" w:rsidRDefault="00000000" w:rsidRPr="00000000" w14:paraId="00000029">
            <w:pPr>
              <w:numPr>
                <w:ilvl w:val="1"/>
                <w:numId w:val="3"/>
              </w:numPr>
              <w:ind w:left="1440" w:right="192" w:hanging="360"/>
              <w:rPr>
                <w:rFonts w:ascii="Arial" w:cs="Arial" w:eastAsia="Arial" w:hAnsi="Arial"/>
                <w:sz w:val="18"/>
                <w:szCs w:val="18"/>
              </w:rPr>
            </w:pPr>
            <w:r w:rsidDel="00000000" w:rsidR="00000000" w:rsidRPr="00000000">
              <w:rPr>
                <w:rFonts w:ascii="Arial" w:cs="Arial" w:eastAsia="Arial" w:hAnsi="Arial"/>
                <w:sz w:val="20"/>
                <w:szCs w:val="20"/>
                <w:rtl w:val="0"/>
              </w:rPr>
              <w:t xml:space="preserve">inform the managing broker in the event of a change in situation.</w:t>
            </w:r>
            <w:r w:rsidDel="00000000" w:rsidR="00000000" w:rsidRPr="00000000">
              <w:rPr>
                <w:rtl w:val="0"/>
              </w:rPr>
            </w:r>
          </w:p>
          <w:p w:rsidR="00000000" w:rsidDel="00000000" w:rsidP="00000000" w:rsidRDefault="00000000" w:rsidRPr="00000000" w14:paraId="0000002A">
            <w:pPr>
              <w:numPr>
                <w:ilvl w:val="0"/>
                <w:numId w:val="3"/>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the event of a claim :</w:t>
            </w:r>
          </w:p>
          <w:p w:rsidR="00000000" w:rsidDel="00000000" w:rsidP="00000000" w:rsidRDefault="00000000" w:rsidRPr="00000000" w14:paraId="0000002B">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submit the claim within the time limits and in accordance with the terms specified in Article 8 of the information notice;</w:t>
            </w:r>
          </w:p>
          <w:p w:rsidR="00000000" w:rsidDel="00000000" w:rsidP="00000000" w:rsidRDefault="00000000" w:rsidRPr="00000000" w14:paraId="0000002C">
            <w:pPr>
              <w:numPr>
                <w:ilvl w:val="1"/>
                <w:numId w:val="3"/>
              </w:numPr>
              <w:ind w:left="1440" w:right="19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provide the required substantiating documents.</w:t>
            </w:r>
            <w:r w:rsidDel="00000000" w:rsidR="00000000" w:rsidRPr="00000000">
              <w:rPr>
                <w:rtl w:val="0"/>
              </w:rPr>
            </w:r>
          </w:p>
          <w:p w:rsidR="00000000" w:rsidDel="00000000" w:rsidP="00000000" w:rsidRDefault="00000000" w:rsidRPr="00000000" w14:paraId="0000002D">
            <w:pPr>
              <w:numPr>
                <w:ilvl w:val="1"/>
                <w:numId w:val="3"/>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refrain from repairing the boat yourself</w:t>
            </w:r>
          </w:p>
          <w:p w:rsidR="00000000" w:rsidDel="00000000" w:rsidP="00000000" w:rsidRDefault="00000000" w:rsidRPr="00000000" w14:paraId="0000002E">
            <w:pPr>
              <w:ind w:left="0" w:right="203" w:firstLine="0"/>
              <w:rPr/>
            </w:pPr>
            <w:r w:rsidDel="00000000" w:rsidR="00000000" w:rsidRPr="00000000">
              <w:rPr>
                <w:rtl w:val="0"/>
              </w:rPr>
            </w:r>
          </w:p>
        </w:tc>
      </w:tr>
      <w:tr>
        <w:trPr>
          <w:cantSplit w:val="0"/>
          <w:trHeight w:val="2265"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0">
            <w:pPr>
              <w:keepNext w:val="1"/>
              <w:keepLines w:val="1"/>
              <w:spacing w:after="120" w:lineRule="auto"/>
              <w:ind w:left="566" w:hanging="425"/>
              <w:rPr>
                <w:b w:val="1"/>
                <w:sz w:val="28"/>
                <w:szCs w:val="28"/>
              </w:rPr>
            </w:pPr>
            <w:bookmarkStart w:colFirst="0" w:colLast="0" w:name="_heading=h.26in1rg" w:id="12"/>
            <w:bookmarkEnd w:id="12"/>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66675</wp:posOffset>
                  </wp:positionV>
                  <wp:extent cx="409044" cy="422910"/>
                  <wp:effectExtent b="0" l="0" r="0" t="0"/>
                  <wp:wrapSquare wrapText="bothSides" distB="57150" distT="57150" distL="57150" distR="57150"/>
                  <wp:docPr id="20"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09044" cy="422910"/>
                          </a:xfrm>
                          <a:prstGeom prst="rect"/>
                          <a:ln/>
                        </pic:spPr>
                      </pic:pic>
                    </a:graphicData>
                  </a:graphic>
                </wp:anchor>
              </w:drawing>
            </w:r>
          </w:p>
          <w:p w:rsidR="00000000" w:rsidDel="00000000" w:rsidP="00000000" w:rsidRDefault="00000000" w:rsidRPr="00000000" w14:paraId="00000031">
            <w:pPr>
              <w:keepNext w:val="1"/>
              <w:keepLines w:val="1"/>
              <w:spacing w:after="120" w:lineRule="auto"/>
              <w:ind w:left="566" w:right="203" w:hanging="425"/>
              <w:rPr>
                <w:b w:val="1"/>
                <w:sz w:val="28"/>
                <w:szCs w:val="28"/>
              </w:rPr>
            </w:pPr>
            <w:bookmarkStart w:colFirst="0" w:colLast="0" w:name="_heading=h.lnxbz9" w:id="13"/>
            <w:bookmarkEnd w:id="13"/>
            <w:r w:rsidDel="00000000" w:rsidR="00000000" w:rsidRPr="00000000">
              <w:rPr>
                <w:b w:val="1"/>
                <w:sz w:val="28"/>
                <w:szCs w:val="28"/>
                <w:rtl w:val="0"/>
              </w:rPr>
              <w:t xml:space="preserve">When and how do I pay?</w:t>
            </w:r>
          </w:p>
          <w:p w:rsidR="00000000" w:rsidDel="00000000" w:rsidP="00000000" w:rsidRDefault="00000000" w:rsidRPr="00000000" w14:paraId="00000032">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insurance premium is calculated according to the amount of the deposit and the number of rental days. The amount is indicated on the Subscription Certificate.</w:t>
            </w:r>
          </w:p>
          <w:p w:rsidR="00000000" w:rsidDel="00000000" w:rsidP="00000000" w:rsidRDefault="00000000" w:rsidRPr="00000000" w14:paraId="00000033">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rFonts w:ascii="Arial" w:cs="Arial" w:eastAsia="Arial" w:hAnsi="Arial"/>
                <w:sz w:val="20"/>
                <w:szCs w:val="20"/>
                <w:rtl w:val="0"/>
              </w:rPr>
              <w:t xml:space="preserve">The insurance premium is paid in full to the Distributor on the same day as the contract is signed.</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6">
            <w:pPr>
              <w:keepNext w:val="1"/>
              <w:keepLines w:val="1"/>
              <w:spacing w:after="120" w:lineRule="auto"/>
              <w:ind w:right="203"/>
              <w:rPr>
                <w:b w:val="1"/>
                <w:sz w:val="28"/>
                <w:szCs w:val="28"/>
              </w:rPr>
            </w:pPr>
            <w:bookmarkStart w:colFirst="0" w:colLast="0" w:name="_heading=h.35nkun2" w:id="14"/>
            <w:bookmarkEnd w:id="14"/>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13385" cy="434405"/>
                  <wp:effectExtent b="0" l="0" r="0" t="0"/>
                  <wp:wrapSquare wrapText="bothSides" distB="57150" distT="57150" distL="57150" distR="57150"/>
                  <wp:docPr id="1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13385" cy="434405"/>
                          </a:xfrm>
                          <a:prstGeom prst="rect"/>
                          <a:ln/>
                        </pic:spPr>
                      </pic:pic>
                    </a:graphicData>
                  </a:graphic>
                </wp:anchor>
              </w:drawing>
            </w:r>
          </w:p>
          <w:p w:rsidR="00000000" w:rsidDel="00000000" w:rsidP="00000000" w:rsidRDefault="00000000" w:rsidRPr="00000000" w14:paraId="00000037">
            <w:pPr>
              <w:keepNext w:val="1"/>
              <w:keepLines w:val="1"/>
              <w:spacing w:after="120" w:lineRule="auto"/>
              <w:ind w:right="203"/>
              <w:rPr>
                <w:b w:val="1"/>
                <w:sz w:val="28"/>
                <w:szCs w:val="28"/>
              </w:rPr>
            </w:pPr>
            <w:bookmarkStart w:colFirst="0" w:colLast="0" w:name="_heading=h.1ksv4uv" w:id="15"/>
            <w:bookmarkEnd w:id="15"/>
            <w:r w:rsidDel="00000000" w:rsidR="00000000" w:rsidRPr="00000000">
              <w:rPr>
                <w:b w:val="1"/>
                <w:sz w:val="28"/>
                <w:szCs w:val="28"/>
                <w:rtl w:val="0"/>
              </w:rPr>
              <w:t xml:space="preserve">When does the cover start and end? </w:t>
            </w:r>
          </w:p>
          <w:p w:rsidR="00000000" w:rsidDel="00000000" w:rsidP="00000000" w:rsidRDefault="00000000" w:rsidRPr="00000000" w14:paraId="00000038">
            <w:pPr>
              <w:ind w:left="0" w:firstLine="0"/>
              <w:jc w:val="both"/>
              <w:rPr>
                <w:sz w:val="20"/>
                <w:szCs w:val="20"/>
                <w:highlight w:val="yellow"/>
              </w:rPr>
            </w:pPr>
            <w:r w:rsidDel="00000000" w:rsidR="00000000" w:rsidRPr="00000000">
              <w:rPr>
                <w:rFonts w:ascii="Arial" w:cs="Arial" w:eastAsia="Arial" w:hAnsi="Arial"/>
                <w:sz w:val="20"/>
                <w:szCs w:val="20"/>
                <w:rtl w:val="0"/>
              </w:rPr>
              <w:t xml:space="preserve">The Guarantee takes effect on the day the subscriber takes possession of the Boat and has the same duration as the Boat rental contract but may be terminated early under the conditions indicated in the article 7.2 of the information notice.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B">
            <w:pPr>
              <w:keepNext w:val="1"/>
              <w:keepLines w:val="1"/>
              <w:spacing w:after="120" w:lineRule="auto"/>
              <w:rPr>
                <w:b w:val="1"/>
                <w:sz w:val="28"/>
                <w:szCs w:val="28"/>
              </w:rPr>
            </w:pPr>
            <w:bookmarkStart w:colFirst="0" w:colLast="0" w:name="_heading=h.44sinio" w:id="16"/>
            <w:bookmarkEnd w:id="16"/>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05765" cy="419520"/>
                  <wp:effectExtent b="0" l="0" r="0" t="0"/>
                  <wp:wrapSquare wrapText="bothSides" distB="57150" distT="57150" distL="57150" distR="57150"/>
                  <wp:docPr id="2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05765" cy="419520"/>
                          </a:xfrm>
                          <a:prstGeom prst="rect"/>
                          <a:ln/>
                        </pic:spPr>
                      </pic:pic>
                    </a:graphicData>
                  </a:graphic>
                </wp:anchor>
              </w:drawing>
            </w:r>
          </w:p>
          <w:p w:rsidR="00000000" w:rsidDel="00000000" w:rsidP="00000000" w:rsidRDefault="00000000" w:rsidRPr="00000000" w14:paraId="0000003C">
            <w:pPr>
              <w:keepNext w:val="1"/>
              <w:keepLines w:val="1"/>
              <w:spacing w:after="120" w:lineRule="auto"/>
              <w:ind w:right="203"/>
              <w:rPr>
                <w:b w:val="1"/>
                <w:sz w:val="28"/>
                <w:szCs w:val="28"/>
              </w:rPr>
            </w:pPr>
            <w:bookmarkStart w:colFirst="0" w:colLast="0" w:name="_heading=h.2jxsxqh" w:id="17"/>
            <w:bookmarkEnd w:id="17"/>
            <w:r w:rsidDel="00000000" w:rsidR="00000000" w:rsidRPr="00000000">
              <w:rPr>
                <w:b w:val="1"/>
                <w:sz w:val="28"/>
                <w:szCs w:val="28"/>
                <w:rtl w:val="0"/>
              </w:rPr>
              <w:t xml:space="preserve">How do I terminate the contract?</w:t>
            </w:r>
          </w:p>
          <w:p w:rsidR="00000000" w:rsidDel="00000000" w:rsidP="00000000" w:rsidRDefault="00000000" w:rsidRPr="00000000" w14:paraId="0000003D">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subscription may be terminated with the managing broker under the conditions indicated in the information notice.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40">
      <w:pPr>
        <w:ind w:left="0" w:firstLine="0"/>
        <w:rPr>
          <w:sz w:val="2"/>
          <w:szCs w:val="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93c47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1"/>
        <w:color w:val="ff99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ind w:left="425"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qFormat w:val="1"/>
  </w:style>
  <w:style w:type="paragraph" w:styleId="Titre1">
    <w:name w:val="heading 1"/>
    <w:basedOn w:val="Normal1"/>
    <w:next w:val="Normal1"/>
    <w:pPr>
      <w:keepNext w:val="1"/>
      <w:keepLines w:val="1"/>
      <w:spacing w:after="120" w:before="400"/>
      <w:outlineLvl w:val="0"/>
    </w:pPr>
    <w:rPr>
      <w:sz w:val="40"/>
      <w:szCs w:val="40"/>
    </w:rPr>
  </w:style>
  <w:style w:type="paragraph" w:styleId="Titre2">
    <w:name w:val="heading 2"/>
    <w:basedOn w:val="Normal1"/>
    <w:next w:val="Normal1"/>
    <w:pPr>
      <w:keepNext w:val="1"/>
      <w:keepLines w:val="1"/>
      <w:spacing w:after="120"/>
      <w:outlineLvl w:val="1"/>
    </w:pPr>
    <w:rPr>
      <w:b w:val="1"/>
      <w:sz w:val="28"/>
      <w:szCs w:val="28"/>
    </w:rPr>
  </w:style>
  <w:style w:type="paragraph" w:styleId="Titre3">
    <w:name w:val="heading 3"/>
    <w:basedOn w:val="Normal1"/>
    <w:next w:val="Normal1"/>
    <w:pPr>
      <w:keepNext w:val="1"/>
      <w:keepLines w:val="1"/>
      <w:spacing w:after="80" w:before="320"/>
      <w:outlineLvl w:val="2"/>
    </w:pPr>
    <w:rPr>
      <w:color w:val="434343"/>
      <w:sz w:val="28"/>
      <w:szCs w:val="28"/>
    </w:rPr>
  </w:style>
  <w:style w:type="paragraph" w:styleId="Titre4">
    <w:name w:val="heading 4"/>
    <w:basedOn w:val="Normal1"/>
    <w:next w:val="Normal1"/>
    <w:pPr>
      <w:keepNext w:val="1"/>
      <w:keepLines w:val="1"/>
      <w:spacing w:after="80" w:before="280"/>
      <w:outlineLvl w:val="3"/>
    </w:pPr>
    <w:rPr>
      <w:color w:val="666666"/>
      <w:sz w:val="24"/>
      <w:szCs w:val="24"/>
    </w:rPr>
  </w:style>
  <w:style w:type="paragraph" w:styleId="Titre5">
    <w:name w:val="heading 5"/>
    <w:basedOn w:val="Normal1"/>
    <w:next w:val="Normal1"/>
    <w:pPr>
      <w:keepNext w:val="1"/>
      <w:keepLines w:val="1"/>
      <w:spacing w:after="80" w:before="240"/>
      <w:outlineLvl w:val="4"/>
    </w:pPr>
    <w:rPr>
      <w:color w:val="666666"/>
    </w:rPr>
  </w:style>
  <w:style w:type="paragraph" w:styleId="Titre6">
    <w:name w:val="heading 6"/>
    <w:basedOn w:val="Normal1"/>
    <w:next w:val="Norm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1"/>
    <w:next w:val="Normal1"/>
    <w:pPr>
      <w:keepNext w:val="1"/>
      <w:keepLines w:val="1"/>
      <w:spacing w:after="60" w:line="276" w:lineRule="auto"/>
    </w:pPr>
    <w:rPr>
      <w:b w:val="1"/>
      <w:color w:val="ffffff"/>
      <w:sz w:val="72"/>
      <w:szCs w:val="72"/>
    </w:rPr>
  </w:style>
  <w:style w:type="paragraph" w:styleId="Sous-titre">
    <w:name w:val="Subtitle"/>
    <w:basedOn w:val="Normal1"/>
    <w:next w:val="Normal1"/>
    <w:pPr>
      <w:keepNext w:val="1"/>
      <w:keepLines w:val="1"/>
      <w:spacing w:line="276" w:lineRule="auto"/>
    </w:pPr>
    <w:rPr>
      <w:rFonts w:ascii="Arial" w:cs="Arial" w:eastAsia="Arial" w:hAnsi="Arial"/>
      <w:b w:val="1"/>
      <w:color w:val="ffffff"/>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edebulles">
    <w:name w:val="Balloon Text"/>
    <w:basedOn w:val="Normal"/>
    <w:link w:val="TextedebullesCar"/>
    <w:uiPriority w:val="99"/>
    <w:semiHidden w:val="1"/>
    <w:unhideWhenUsed w:val="1"/>
    <w:rsid w:val="000D38C9"/>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0D38C9"/>
    <w:rPr>
      <w:rFonts w:ascii="Lucida Grande" w:cs="Lucida Grande" w:hAnsi="Lucida Grande"/>
      <w:sz w:val="18"/>
      <w:szCs w:val="1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J/6JMKxp8M6bFyuleImKKlkEA==">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2020-07-28T16:10:00Z</dcterms:created>
  <dc:creator>Stéphanie Ruscon</dc:creator>
</cp:coreProperties>
</file>