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9279" w14:textId="6E381A14" w:rsidR="008347DF" w:rsidRDefault="008347DF">
      <w:pPr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</w:p>
    <w:p w14:paraId="50950426" w14:textId="77777777" w:rsidR="008347DF" w:rsidRDefault="008347DF">
      <w:pPr>
        <w:ind w:left="65"/>
        <w:rPr>
          <w:sz w:val="2"/>
          <w:szCs w:val="2"/>
        </w:rPr>
      </w:pPr>
    </w:p>
    <w:tbl>
      <w:tblPr>
        <w:tblStyle w:val="a1"/>
        <w:tblW w:w="10305" w:type="dxa"/>
        <w:jc w:val="center"/>
        <w:tblInd w:w="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4935"/>
      </w:tblGrid>
      <w:tr w:rsidR="008347DF" w:rsidRPr="00900526" w14:paraId="59BBACAF" w14:textId="77777777">
        <w:trPr>
          <w:trHeight w:val="1740"/>
          <w:jc w:val="center"/>
        </w:trPr>
        <w:tc>
          <w:tcPr>
            <w:tcW w:w="10305" w:type="dxa"/>
            <w:gridSpan w:val="2"/>
            <w:tcBorders>
              <w:right w:val="nil"/>
            </w:tcBorders>
            <w:shd w:val="clear" w:color="auto" w:fill="3D85C6"/>
            <w:tcMar>
              <w:top w:w="181" w:type="dxa"/>
              <w:left w:w="181" w:type="dxa"/>
              <w:bottom w:w="181" w:type="dxa"/>
              <w:right w:w="181" w:type="dxa"/>
            </w:tcMar>
          </w:tcPr>
          <w:p w14:paraId="7FCCF79F" w14:textId="77777777" w:rsidR="008347DF" w:rsidRDefault="00931082">
            <w:pPr>
              <w:keepNext/>
              <w:keepLines/>
              <w:spacing w:after="60" w:line="276" w:lineRule="auto"/>
              <w:rPr>
                <w:b/>
                <w:color w:val="FFFFFF"/>
                <w:sz w:val="48"/>
                <w:szCs w:val="4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48"/>
                <w:szCs w:val="48"/>
              </w:rPr>
              <w:t xml:space="preserve">Assicurazione sul rimborso dei depositi </w:t>
            </w:r>
          </w:p>
          <w:p w14:paraId="75449C73" w14:textId="77777777" w:rsidR="008347DF" w:rsidRDefault="00931082">
            <w:pPr>
              <w:pStyle w:val="Sous-titre"/>
            </w:pPr>
            <w:bookmarkStart w:id="1" w:name="_heading=h.30j0zll" w:colFirst="0" w:colLast="0"/>
            <w:bookmarkEnd w:id="1"/>
            <w:r>
              <w:t>Documento informativo sui prodotti assicurativi</w:t>
            </w:r>
          </w:p>
          <w:p w14:paraId="6432D432" w14:textId="77777777" w:rsidR="008347DF" w:rsidRDefault="00931082">
            <w:pPr>
              <w:spacing w:before="120" w:line="276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Società: Seyna, SA con capitale di 1.115.800,42 €, con sede legale in 20 bis rue Louis-Philippe, 92200 Neuilly sur Seine, iscritta al Registro del Commercio e delle Società di Nanterre con il numero 843 974 635, società disciplinata dal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Codice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delle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Assicurazioni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  <w:p w14:paraId="0D037C13" w14:textId="77777777" w:rsidR="008347DF" w:rsidRPr="00900526" w:rsidRDefault="00931082">
            <w:pPr>
              <w:spacing w:line="276" w:lineRule="auto"/>
              <w:ind w:left="0" w:firstLine="0"/>
              <w:rPr>
                <w:color w:val="FFFFFF"/>
                <w:lang w:val="en-US"/>
              </w:rPr>
            </w:pPr>
            <w:r w:rsidRPr="00900526">
              <w:rPr>
                <w:rFonts w:ascii="Arial" w:eastAsia="Arial" w:hAnsi="Arial" w:cs="Arial"/>
                <w:color w:val="FFFFFF"/>
                <w:sz w:val="20"/>
                <w:szCs w:val="20"/>
                <w:lang w:val="en-US"/>
              </w:rPr>
              <w:t>Prodotto: Click &amp; Boat Riscatto del deposito</w:t>
            </w:r>
          </w:p>
        </w:tc>
      </w:tr>
      <w:tr w:rsidR="008347DF" w14:paraId="0B1E1674" w14:textId="77777777">
        <w:trPr>
          <w:trHeight w:val="460"/>
          <w:jc w:val="center"/>
        </w:trPr>
        <w:tc>
          <w:tcPr>
            <w:tcW w:w="10305" w:type="dxa"/>
            <w:gridSpan w:val="2"/>
            <w:tcBorders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C8FDE" w14:textId="77777777" w:rsidR="008347DF" w:rsidRDefault="00931082">
            <w:pPr>
              <w:spacing w:before="12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Il presente documento informativo è una sintesi delle principali garanzie ed esclusioni del contratto assicurativo n°2sn46 "Rimborso della caparra", il cui opuscolo informativo completo è disponibile su richiesta sul sito Click&amp;Boat e ti verrà inviato via e-mail dopo la conferma della tua adesione. Non tiene conto delle tue esigenze e richieste specifiche.</w:t>
            </w:r>
          </w:p>
          <w:p w14:paraId="1B87E668" w14:textId="77777777" w:rsidR="008347DF" w:rsidRDefault="008347DF">
            <w:pPr>
              <w:ind w:left="0" w:firstLine="0"/>
            </w:pPr>
          </w:p>
          <w:p w14:paraId="479EE472" w14:textId="77777777" w:rsidR="008347DF" w:rsidRDefault="00931082">
            <w:pPr>
              <w:keepNext/>
              <w:keepLines/>
              <w:spacing w:after="120"/>
              <w:ind w:left="0" w:firstLine="0"/>
              <w:rPr>
                <w:b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b/>
                <w:sz w:val="28"/>
                <w:szCs w:val="28"/>
              </w:rPr>
              <w:t xml:space="preserve">Che tipo di assicurazione </w:t>
            </w:r>
            <w:proofErr w:type="gramStart"/>
            <w:r>
              <w:rPr>
                <w:b/>
                <w:sz w:val="28"/>
                <w:szCs w:val="28"/>
              </w:rPr>
              <w:t>è?</w:t>
            </w:r>
            <w:proofErr w:type="gramEnd"/>
          </w:p>
          <w:p w14:paraId="35AEB9E3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L'Assicurazione "Deposito Cauzione" è un contratto collettivo facoltativo che ha lo scopo di rimborsare parte della cauzione prelevata nell'ambito della prenotazione in caso di danni all'imbarcazione al termine del contratto di noleggio dell'imbarcazione stessa.</w:t>
            </w:r>
          </w:p>
        </w:tc>
      </w:tr>
      <w:tr w:rsidR="008347DF" w14:paraId="019EACDA" w14:textId="77777777">
        <w:trPr>
          <w:trHeight w:val="460"/>
          <w:jc w:val="center"/>
        </w:trPr>
        <w:tc>
          <w:tcPr>
            <w:tcW w:w="5370" w:type="dxa"/>
            <w:vMerge w:val="restart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02394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anchor distT="57150" distB="57150" distL="57150" distR="57150" simplePos="0" relativeHeight="251658240" behindDoc="0" locked="0" layoutInCell="1" hidden="0" allowOverlap="1" wp14:anchorId="7184AC8D" wp14:editId="09DC99D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91372" cy="409575"/>
                  <wp:effectExtent l="0" t="0" r="0" b="0"/>
                  <wp:wrapSquare wrapText="bothSides" distT="57150" distB="57150" distL="57150" distR="5715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72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971AA86" w14:textId="77777777" w:rsidR="008347DF" w:rsidRDefault="00931082">
            <w:pPr>
              <w:keepNext/>
              <w:keepLines/>
              <w:spacing w:after="120"/>
              <w:ind w:left="566" w:right="229" w:firstLine="65"/>
              <w:rPr>
                <w:b/>
                <w:sz w:val="28"/>
                <w:szCs w:val="28"/>
              </w:rPr>
            </w:pPr>
            <w:bookmarkStart w:id="4" w:name="_heading=h.2et92p0" w:colFirst="0" w:colLast="0"/>
            <w:bookmarkEnd w:id="4"/>
            <w:r>
              <w:rPr>
                <w:b/>
                <w:sz w:val="28"/>
                <w:szCs w:val="28"/>
              </w:rPr>
              <w:t xml:space="preserve"> Che cosa è </w:t>
            </w:r>
            <w:proofErr w:type="gramStart"/>
            <w:r>
              <w:rPr>
                <w:b/>
                <w:sz w:val="28"/>
                <w:szCs w:val="28"/>
              </w:rPr>
              <w:t>assicurato?</w:t>
            </w:r>
            <w:proofErr w:type="gramEnd"/>
          </w:p>
          <w:p w14:paraId="28A7B4A4" w14:textId="77777777" w:rsidR="008347DF" w:rsidRDefault="00931082">
            <w:pPr>
              <w:spacing w:before="120"/>
              <w:ind w:left="0" w:right="149" w:firstLine="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Le garanzie precedute da un segno di spunta </w:t>
            </w: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0" distB="0" distL="0" distR="0" wp14:anchorId="6F06368D" wp14:editId="5C67A593">
                  <wp:extent cx="129231" cy="1440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1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sono sistematicamente previste nel contratto.</w:t>
            </w:r>
          </w:p>
          <w:p w14:paraId="44C9C8E0" w14:textId="77777777" w:rsidR="008347DF" w:rsidRDefault="008347DF">
            <w:pPr>
              <w:ind w:left="0" w:firstLine="0"/>
            </w:pPr>
          </w:p>
          <w:p w14:paraId="0C2C164A" w14:textId="77777777" w:rsidR="008347DF" w:rsidRDefault="00931082">
            <w:pPr>
              <w:numPr>
                <w:ilvl w:val="0"/>
                <w:numId w:val="4"/>
              </w:numPr>
              <w:ind w:left="566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Rimborso di parte della caparra</w:t>
            </w:r>
          </w:p>
          <w:p w14:paraId="125FD15A" w14:textId="77777777" w:rsidR="008347DF" w:rsidRDefault="008347DF">
            <w:pPr>
              <w:ind w:left="0" w:right="229" w:firstLine="0"/>
            </w:pPr>
          </w:p>
          <w:p w14:paraId="00EF3394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Limite e massimale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: 1 (uno) Sinistro unico per periodo assicurativo entro il limite </w:t>
            </w:r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dell'importo della caparra prelevata nell'ambito della prenotazione, previa detrazione di una franchigia del 20% su tale importo detratto, con un minimo di 200 euro IVA inclusa e un massimo di 5.000 euro IVA inclusa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39A6BFC" w14:textId="77777777" w:rsidR="008347DF" w:rsidRDefault="008347DF">
            <w:pPr>
              <w:ind w:left="720" w:right="229" w:firstLine="0"/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D9DBC" w14:textId="77777777" w:rsidR="008347DF" w:rsidRDefault="00931082">
            <w:pPr>
              <w:keepNext/>
              <w:keepLines/>
              <w:spacing w:after="120"/>
              <w:ind w:left="566" w:firstLine="65"/>
            </w:pPr>
            <w:bookmarkStart w:id="5" w:name="_heading=h.tyjcwt" w:colFirst="0" w:colLast="0"/>
            <w:bookmarkEnd w:id="5"/>
            <w:r>
              <w:t xml:space="preserve"> </w:t>
            </w:r>
            <w:r>
              <w:rPr>
                <w:noProof/>
              </w:rPr>
              <w:drawing>
                <wp:anchor distT="57150" distB="57150" distL="57150" distR="57150" simplePos="0" relativeHeight="251659264" behindDoc="0" locked="0" layoutInCell="1" hidden="0" allowOverlap="1" wp14:anchorId="0F47D70A" wp14:editId="52115DE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377904" cy="394335"/>
                  <wp:effectExtent l="0" t="0" r="0" b="0"/>
                  <wp:wrapSquare wrapText="bothSides" distT="57150" distB="57150" distL="57150" distR="57150"/>
                  <wp:docPr id="2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04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F08E5A1" w14:textId="77777777" w:rsidR="008347DF" w:rsidRDefault="00931082">
            <w:pPr>
              <w:keepNext/>
              <w:keepLines/>
              <w:spacing w:after="120"/>
              <w:ind w:left="566" w:right="225" w:firstLine="65"/>
              <w:rPr>
                <w:b/>
                <w:sz w:val="28"/>
                <w:szCs w:val="28"/>
              </w:rPr>
            </w:pPr>
            <w:bookmarkStart w:id="6" w:name="_heading=h.3dy6vkm" w:colFirst="0" w:colLast="0"/>
            <w:bookmarkEnd w:id="6"/>
            <w:r>
              <w:rPr>
                <w:b/>
                <w:sz w:val="28"/>
                <w:szCs w:val="28"/>
              </w:rPr>
              <w:t xml:space="preserve">Cosa non è </w:t>
            </w:r>
            <w:proofErr w:type="gramStart"/>
            <w:r>
              <w:rPr>
                <w:b/>
                <w:sz w:val="28"/>
                <w:szCs w:val="28"/>
              </w:rPr>
              <w:t>assicurato?</w:t>
            </w:r>
            <w:proofErr w:type="gramEnd"/>
          </w:p>
          <w:p w14:paraId="335E0B09" w14:textId="77777777" w:rsidR="008347DF" w:rsidRDefault="008347DF">
            <w:pPr>
              <w:ind w:left="566" w:right="225"/>
            </w:pPr>
          </w:p>
          <w:p w14:paraId="39DA1EED" w14:textId="77777777" w:rsidR="008347DF" w:rsidRDefault="00931082">
            <w:pPr>
              <w:numPr>
                <w:ilvl w:val="0"/>
                <w:numId w:val="1"/>
              </w:numPr>
              <w:ind w:left="566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Barche in gara</w:t>
            </w:r>
          </w:p>
          <w:p w14:paraId="7FE14EF3" w14:textId="77777777" w:rsidR="008347DF" w:rsidRDefault="00931082">
            <w:pPr>
              <w:numPr>
                <w:ilvl w:val="0"/>
                <w:numId w:val="1"/>
              </w:numPr>
              <w:ind w:left="566" w:right="22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l'attrezzatura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ausiliaria dell'imbarcazione (bip, tender, motore del gommone)</w:t>
            </w:r>
          </w:p>
        </w:tc>
      </w:tr>
      <w:tr w:rsidR="008347DF" w14:paraId="5627145B" w14:textId="77777777">
        <w:trPr>
          <w:trHeight w:val="420"/>
          <w:jc w:val="center"/>
        </w:trPr>
        <w:tc>
          <w:tcPr>
            <w:tcW w:w="5370" w:type="dxa"/>
            <w:vMerge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9E250" w14:textId="77777777" w:rsidR="008347DF" w:rsidRDefault="008347DF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BFCF7" w14:textId="77777777" w:rsidR="008347DF" w:rsidRDefault="00931082">
            <w:pPr>
              <w:keepNext/>
              <w:keepLines/>
              <w:spacing w:after="120"/>
              <w:ind w:left="566" w:right="219" w:firstLine="65"/>
              <w:rPr>
                <w:b/>
                <w:sz w:val="28"/>
                <w:szCs w:val="28"/>
              </w:rPr>
            </w:pPr>
            <w:bookmarkStart w:id="7" w:name="_heading=h.1t3h5sf" w:colFirst="0" w:colLast="0"/>
            <w:bookmarkEnd w:id="7"/>
            <w:r>
              <w:t xml:space="preserve"> </w:t>
            </w:r>
            <w:r>
              <w:rPr>
                <w:b/>
                <w:sz w:val="28"/>
                <w:szCs w:val="28"/>
              </w:rPr>
              <w:t>Ci sono esclusioni alla copertura?</w:t>
            </w:r>
            <w:r>
              <w:rPr>
                <w:noProof/>
              </w:rPr>
              <w:drawing>
                <wp:anchor distT="57150" distB="57150" distL="57150" distR="57150" simplePos="0" relativeHeight="251660288" behindDoc="0" locked="0" layoutInCell="1" hidden="0" allowOverlap="1" wp14:anchorId="7F4CDE8D" wp14:editId="4302D3C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58140" cy="373380"/>
                  <wp:effectExtent l="0" t="0" r="0" b="0"/>
                  <wp:wrapSquare wrapText="bothSides" distT="57150" distB="57150" distL="57150" distR="5715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7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34763B" w14:textId="77777777" w:rsidR="008347DF" w:rsidRDefault="00931082">
            <w:pPr>
              <w:ind w:left="566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Esclusioni chiave</w:t>
            </w:r>
          </w:p>
          <w:p w14:paraId="63A8A1DA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Uso professionale dell'imbarcazione</w:t>
            </w:r>
          </w:p>
          <w:p w14:paraId="57562207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guasto della barca</w:t>
            </w:r>
          </w:p>
          <w:p w14:paraId="1E644DB9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Furto di attrezzature e attrezzature</w:t>
            </w:r>
          </w:p>
          <w:p w14:paraId="09066A42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Trascurare</w:t>
            </w:r>
          </w:p>
        </w:tc>
      </w:tr>
      <w:tr w:rsidR="008347DF" w14:paraId="37448D4F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4D19C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noProof/>
              </w:rPr>
              <w:lastRenderedPageBreak/>
              <w:drawing>
                <wp:anchor distT="57150" distB="57150" distL="57150" distR="57150" simplePos="0" relativeHeight="251661312" behindDoc="0" locked="0" layoutInCell="1" hidden="0" allowOverlap="1" wp14:anchorId="5E83BCEE" wp14:editId="7EF3DA6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81173" cy="405765"/>
                  <wp:effectExtent l="0" t="0" r="0" b="0"/>
                  <wp:wrapSquare wrapText="bothSides" distT="57150" distB="57150" distL="57150" distR="5715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73" cy="405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2A0C63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9" w:name="_heading=h.2s8eyo1" w:colFirst="0" w:colLast="0"/>
            <w:bookmarkEnd w:id="9"/>
            <w:r>
              <w:rPr>
                <w:b/>
                <w:sz w:val="28"/>
                <w:szCs w:val="28"/>
              </w:rPr>
              <w:t xml:space="preserve">Dove sono </w:t>
            </w:r>
            <w:proofErr w:type="gramStart"/>
            <w:r>
              <w:rPr>
                <w:b/>
                <w:sz w:val="28"/>
                <w:szCs w:val="28"/>
              </w:rPr>
              <w:t>coperto?</w:t>
            </w:r>
            <w:proofErr w:type="gramEnd"/>
          </w:p>
          <w:p w14:paraId="1B2A0D15" w14:textId="77777777" w:rsidR="008347DF" w:rsidRDefault="00931082">
            <w:pPr>
              <w:numPr>
                <w:ilvl w:val="0"/>
                <w:numId w:val="2"/>
              </w:numPr>
              <w:spacing w:before="120"/>
              <w:ind w:right="62"/>
              <w:jc w:val="both"/>
            </w:pPr>
            <w:r w:rsidRPr="0090052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In tutto il mondo. Tuttavia, il rimborso verrà effettuato in euro.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L'assicuratore non paga il controvalore nella valuta del paese di residenza dell'assicurato né le eventuali spese bancarie applicate dalla banca dell'assicurato. </w:t>
            </w:r>
          </w:p>
        </w:tc>
      </w:tr>
      <w:tr w:rsidR="008347DF" w14:paraId="5B6B69E7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DEFC2" w14:textId="77777777" w:rsidR="008347DF" w:rsidRDefault="00931082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</w:rPr>
            </w:pPr>
            <w:bookmarkStart w:id="10" w:name="_heading=h.17dp8vu" w:colFirst="0" w:colLast="0"/>
            <w:bookmarkEnd w:id="10"/>
            <w:r>
              <w:rPr>
                <w:noProof/>
              </w:rPr>
              <w:drawing>
                <wp:anchor distT="57150" distB="57150" distL="57150" distR="57150" simplePos="0" relativeHeight="251662336" behindDoc="0" locked="0" layoutInCell="1" hidden="0" allowOverlap="1" wp14:anchorId="6C0EFA2F" wp14:editId="15A0C9A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394335" cy="400695"/>
                  <wp:effectExtent l="0" t="0" r="0" b="0"/>
                  <wp:wrapSquare wrapText="bothSides" distT="57150" distB="57150" distL="57150" distR="57150"/>
                  <wp:docPr id="2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400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213BA12" w14:textId="77777777" w:rsidR="008347DF" w:rsidRPr="00900526" w:rsidRDefault="00931082">
            <w:pPr>
              <w:keepNext/>
              <w:keepLines/>
              <w:spacing w:after="120"/>
              <w:ind w:left="566" w:right="203" w:hanging="425"/>
              <w:rPr>
                <w:b/>
                <w:sz w:val="28"/>
                <w:szCs w:val="28"/>
                <w:lang w:val="en-US"/>
              </w:rPr>
            </w:pPr>
            <w:bookmarkStart w:id="11" w:name="_heading=h.3rdcrjn" w:colFirst="0" w:colLast="0"/>
            <w:bookmarkEnd w:id="11"/>
            <w:r w:rsidRPr="00900526">
              <w:rPr>
                <w:b/>
                <w:sz w:val="28"/>
                <w:szCs w:val="28"/>
                <w:lang w:val="en-US"/>
              </w:rPr>
              <w:t>Quali sono i miei obblighi?</w:t>
            </w:r>
          </w:p>
          <w:p w14:paraId="59D62126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 momento dell'adesione:</w:t>
            </w:r>
          </w:p>
          <w:p w14:paraId="06C29C21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pagare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il premio assicurativo.</w:t>
            </w:r>
          </w:p>
          <w:p w14:paraId="72EC51FC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 fase di adesione:</w:t>
            </w:r>
          </w:p>
          <w:p w14:paraId="6F1232FF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informare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il Dealer Manager in caso di cambiamento delle circostanze.</w:t>
            </w:r>
          </w:p>
          <w:p w14:paraId="283B439E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 caso di sinistro:</w:t>
            </w:r>
          </w:p>
          <w:p w14:paraId="049DDC4B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segnalare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qualsiasi reclamo entro i termini e secondo le modalità di cui all'articolo 8 della Nota Informativa;</w:t>
            </w:r>
          </w:p>
          <w:p w14:paraId="3718DF32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fornire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 documenti giustificativi richiesti;</w:t>
            </w:r>
          </w:p>
          <w:p w14:paraId="5037529C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Astenersi dal riparare l'immobile da soli.</w:t>
            </w:r>
          </w:p>
          <w:p w14:paraId="75691584" w14:textId="77777777" w:rsidR="008347DF" w:rsidRDefault="008347DF">
            <w:pPr>
              <w:ind w:left="0" w:right="203" w:firstLine="0"/>
            </w:pPr>
          </w:p>
        </w:tc>
      </w:tr>
      <w:tr w:rsidR="008347DF" w14:paraId="6830F746" w14:textId="77777777">
        <w:trPr>
          <w:trHeight w:val="255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AB3FC" w14:textId="77777777" w:rsidR="008347DF" w:rsidRDefault="00931082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</w:rPr>
            </w:pPr>
            <w:bookmarkStart w:id="12" w:name="_heading=h.26in1rg" w:colFirst="0" w:colLast="0"/>
            <w:bookmarkEnd w:id="12"/>
            <w:r>
              <w:rPr>
                <w:noProof/>
              </w:rPr>
              <w:drawing>
                <wp:anchor distT="57150" distB="57150" distL="57150" distR="57150" simplePos="0" relativeHeight="251663360" behindDoc="0" locked="0" layoutInCell="1" hidden="0" allowOverlap="1" wp14:anchorId="5464A06C" wp14:editId="336B352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409044" cy="422910"/>
                  <wp:effectExtent l="0" t="0" r="0" b="0"/>
                  <wp:wrapSquare wrapText="bothSides" distT="57150" distB="57150" distL="57150" distR="5715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44" cy="422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67A80E" w14:textId="77777777" w:rsidR="008347DF" w:rsidRPr="00900526" w:rsidRDefault="00931082">
            <w:pPr>
              <w:keepNext/>
              <w:keepLines/>
              <w:spacing w:after="120"/>
              <w:ind w:left="566" w:right="203" w:hanging="425"/>
              <w:rPr>
                <w:b/>
                <w:sz w:val="28"/>
                <w:szCs w:val="28"/>
                <w:lang w:val="en-US"/>
              </w:rPr>
            </w:pPr>
            <w:bookmarkStart w:id="13" w:name="_heading=h.lnxbz9" w:colFirst="0" w:colLast="0"/>
            <w:bookmarkEnd w:id="13"/>
            <w:r w:rsidRPr="00900526">
              <w:rPr>
                <w:b/>
                <w:sz w:val="28"/>
                <w:szCs w:val="28"/>
                <w:lang w:val="en-US"/>
              </w:rPr>
              <w:t>Quando e come effettuare i pagamenti?</w:t>
            </w:r>
          </w:p>
          <w:p w14:paraId="24A7154D" w14:textId="77777777" w:rsidR="008347DF" w:rsidRPr="00900526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00526">
              <w:rPr>
                <w:rFonts w:ascii="Arial" w:eastAsia="Arial" w:hAnsi="Arial" w:cs="Arial"/>
                <w:sz w:val="20"/>
                <w:szCs w:val="20"/>
                <w:lang w:val="en-US"/>
              </w:rPr>
              <w:t>Il premio assicurativo viene calcolato in base al valore della cauzione e al numero di giorni di noleggio. L'importo è indicato sul Certificato di Adesione.</w:t>
            </w:r>
          </w:p>
          <w:p w14:paraId="38E8FA53" w14:textId="77777777" w:rsidR="008347DF" w:rsidRPr="00900526" w:rsidRDefault="008347DF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CD80357" w14:textId="77777777" w:rsidR="008347DF" w:rsidRDefault="00931082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Il premio assicurativo viene pagato per intero al Distributore lo stesso giorno della firma del Contratto. </w:t>
            </w:r>
          </w:p>
          <w:p w14:paraId="6604FB7E" w14:textId="77777777" w:rsidR="008347DF" w:rsidRDefault="008347DF">
            <w:pPr>
              <w:ind w:left="566" w:hanging="425"/>
            </w:pPr>
          </w:p>
        </w:tc>
      </w:tr>
      <w:tr w:rsidR="008347DF" w14:paraId="577D5BAE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B24DA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14" w:name="_heading=h.35nkun2" w:colFirst="0" w:colLast="0"/>
            <w:bookmarkEnd w:id="14"/>
            <w:r>
              <w:rPr>
                <w:noProof/>
              </w:rPr>
              <w:drawing>
                <wp:anchor distT="57150" distB="57150" distL="57150" distR="57150" simplePos="0" relativeHeight="251664384" behindDoc="0" locked="0" layoutInCell="1" hidden="0" allowOverlap="1" wp14:anchorId="32E25AC1" wp14:editId="30C06C3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13385" cy="434405"/>
                  <wp:effectExtent l="0" t="0" r="0" b="0"/>
                  <wp:wrapSquare wrapText="bothSides" distT="57150" distB="57150" distL="57150" distR="5715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3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1192AB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15" w:name="_heading=h.1ksv4uv" w:colFirst="0" w:colLast="0"/>
            <w:bookmarkEnd w:id="15"/>
            <w:r>
              <w:rPr>
                <w:b/>
                <w:sz w:val="28"/>
                <w:szCs w:val="28"/>
              </w:rPr>
              <w:t xml:space="preserve">Quando inizia e quando termina la </w:t>
            </w:r>
            <w:proofErr w:type="gramStart"/>
            <w:r>
              <w:rPr>
                <w:b/>
                <w:sz w:val="28"/>
                <w:szCs w:val="28"/>
              </w:rPr>
              <w:t>copertura?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14:paraId="7F346AEE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Garanzia decorre dal giorno in cui il socio prende possesso dell'imbarcazione e termina con la sua restituzione.</w:t>
            </w:r>
          </w:p>
          <w:p w14:paraId="18F7313D" w14:textId="77777777" w:rsidR="008347DF" w:rsidRDefault="00931082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Garanzia ha la stessa durata del contratto di noleggio dell'imbarcazione ma può essere risolta anticipatamente nei casi di cui all'articolo 7.2. </w:t>
            </w:r>
          </w:p>
          <w:p w14:paraId="5E289F8A" w14:textId="77777777" w:rsidR="008347DF" w:rsidRDefault="008347DF"/>
        </w:tc>
      </w:tr>
      <w:tr w:rsidR="008347DF" w14:paraId="1EBB81AA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30749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16" w:name="_heading=h.44sinio" w:colFirst="0" w:colLast="0"/>
            <w:bookmarkEnd w:id="16"/>
            <w:r>
              <w:rPr>
                <w:noProof/>
              </w:rPr>
              <w:drawing>
                <wp:anchor distT="57150" distB="57150" distL="57150" distR="57150" simplePos="0" relativeHeight="251665408" behindDoc="0" locked="0" layoutInCell="1" hidden="0" allowOverlap="1" wp14:anchorId="6103519D" wp14:editId="575EEE9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05765" cy="419520"/>
                  <wp:effectExtent l="0" t="0" r="0" b="0"/>
                  <wp:wrapSquare wrapText="bothSides" distT="57150" distB="57150" distL="57150" distR="5715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19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AB7CFE" w14:textId="77777777" w:rsidR="008347DF" w:rsidRPr="00900526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  <w:lang w:val="en-US"/>
              </w:rPr>
            </w:pPr>
            <w:bookmarkStart w:id="17" w:name="_heading=h.2jxsxqh" w:colFirst="0" w:colLast="0"/>
            <w:bookmarkEnd w:id="17"/>
            <w:r w:rsidRPr="00900526">
              <w:rPr>
                <w:b/>
                <w:sz w:val="28"/>
                <w:szCs w:val="28"/>
                <w:lang w:val="en-US"/>
              </w:rPr>
              <w:t>Come posso recedere dal contratto?</w:t>
            </w:r>
          </w:p>
          <w:p w14:paraId="44E717AE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L'adesione può essere disdetta con il Dealer Manager alle condizioni indicate nella Nota Informativa.</w:t>
            </w:r>
          </w:p>
          <w:p w14:paraId="70844E44" w14:textId="77777777" w:rsidR="008347DF" w:rsidRDefault="008347DF"/>
        </w:tc>
      </w:tr>
    </w:tbl>
    <w:p w14:paraId="1A6A0D15" w14:textId="677AD487" w:rsidR="008347DF" w:rsidRDefault="008347DF">
      <w:pPr>
        <w:ind w:left="0" w:firstLine="0"/>
        <w:rPr>
          <w:sz w:val="2"/>
          <w:szCs w:val="2"/>
        </w:rPr>
      </w:pPr>
    </w:p>
    <w:sectPr w:rsidR="008347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roman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E53"/>
    <w:multiLevelType w:val="multilevel"/>
    <w:tmpl w:val="25CEC20E"/>
    <w:lvl w:ilvl="0">
      <w:start w:val="1"/>
      <w:numFmt w:val="bullet"/>
      <w:lvlText w:val="!"/>
      <w:lvlJc w:val="left"/>
      <w:pPr>
        <w:ind w:left="720" w:hanging="360"/>
      </w:pPr>
      <w:rPr>
        <w:rFonts w:ascii="Arial" w:eastAsia="Arial" w:hAnsi="Arial" w:cs="Arial"/>
        <w:b/>
        <w:color w:val="FF99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73867"/>
    <w:multiLevelType w:val="multilevel"/>
    <w:tmpl w:val="FC08741C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512EA7"/>
    <w:multiLevelType w:val="multilevel"/>
    <w:tmpl w:val="E620EB64"/>
    <w:lvl w:ilvl="0">
      <w:start w:val="1"/>
      <w:numFmt w:val="bullet"/>
      <w:lvlText w:val="✔"/>
      <w:lvlJc w:val="left"/>
      <w:pPr>
        <w:ind w:left="720" w:hanging="360"/>
      </w:pPr>
      <w:rPr>
        <w:color w:val="93C47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915E69"/>
    <w:multiLevelType w:val="multilevel"/>
    <w:tmpl w:val="50E84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036EDB"/>
    <w:multiLevelType w:val="multilevel"/>
    <w:tmpl w:val="2ED06A7C"/>
    <w:lvl w:ilvl="0">
      <w:start w:val="1"/>
      <w:numFmt w:val="bullet"/>
      <w:lvlText w:val="✘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3366427">
    <w:abstractNumId w:val="4"/>
  </w:num>
  <w:num w:numId="2" w16cid:durableId="923340506">
    <w:abstractNumId w:val="1"/>
  </w:num>
  <w:num w:numId="3" w16cid:durableId="1399673132">
    <w:abstractNumId w:val="3"/>
  </w:num>
  <w:num w:numId="4" w16cid:durableId="181675976">
    <w:abstractNumId w:val="2"/>
  </w:num>
  <w:num w:numId="5" w16cid:durableId="163355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DF"/>
    <w:rsid w:val="008347DF"/>
    <w:rsid w:val="00900526"/>
    <w:rsid w:val="009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329BB"/>
  <w15:docId w15:val="{37889286-F652-7E44-83E7-83E3315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ind w:left="425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uiPriority w:val="9"/>
    <w:semiHidden/>
    <w:unhideWhenUsed/>
    <w:qFormat/>
    <w:pPr>
      <w:keepNext/>
      <w:keepLines/>
      <w:spacing w:after="120"/>
      <w:outlineLvl w:val="1"/>
    </w:pPr>
    <w:rPr>
      <w:b/>
      <w:sz w:val="28"/>
      <w:szCs w:val="28"/>
    </w:rPr>
  </w:style>
  <w:style w:type="paragraph" w:styleId="Titre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0"/>
    <w:qFormat/>
    <w:pPr>
      <w:keepNext/>
      <w:keepLines/>
      <w:spacing w:after="60" w:line="276" w:lineRule="auto"/>
    </w:pPr>
    <w:rPr>
      <w:b/>
      <w:color w:val="FFFFFF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b/>
      <w:color w:val="FFFFFF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38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8C9"/>
    <w:rPr>
      <w:rFonts w:ascii="Lucida Grande" w:hAnsi="Lucida Grande" w:cs="Lucida Grande"/>
      <w:sz w:val="18"/>
      <w:szCs w:val="18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005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J/6JMKxp8M6bFyuleImKKlkEA==">AMUW2mUf+I+bDemiko7TZkAcfuiFuZOODRxC7QiMc2BIuTVf4tLGtymCHcoD9qEktCPmGUHlXhqULFFy+Y5rovNh7vosGJWR4GOPhrbAtOcSRgc/vFrUW6WnWzBBAlkECuj8b7dOw18eaDDO3DbdcITRL4VJq+DfMpSp7kMN5GX9XdgUrnAcL5HnYmSvn42RK1dHuLYI2WeelNjteEx7iotZG2wQKiGWXmwe8iDMv4A3zlOE7i1gVZtqQ0ubtPuQnPdy13NkT20oq113eXnrGAeWfO41CbW/Hw23F0LiwTqg51tYFaYakgAZMzc+MmofsXilAYU7lW7pjX0vC6KbUtGV+RdrJjcx9sts0JUHYX//Xrq+/QI/OBRXz0kpXGwbOMjzSpn4A59cAA8leTmMnEvBQsWS9zW1TMbJP+qFFSRLS7My4zDRXh7GPeGlZhmm/qcu3CFUdMVbKqvocDzj5t7n/TTQ6+a8rayGM5Qpfc/WrbToUs4eB+z8ZVfPi62pcILvB+Omr6jKbAskknhSz0X3BsVqHGGegiokTxf3uIwPWOxa+NeSrMxdgt40n8qj53RSknQXM1ewPjZbnJGV4laPvR5FHPNOEEU39w6nKfmEAzT+ZMj6+xHmylll+acZsGtlPYiDJd9n5TsY+Z0+nHHjyon/PwV1jYC8H/hFP10QXSyK4eIB4RNTtJav+QgCb5BABUU5rH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Ruscon</dc:creator>
  <cp:lastModifiedBy>Camille Grosjean</cp:lastModifiedBy>
  <cp:revision>1</cp:revision>
  <dcterms:created xsi:type="dcterms:W3CDTF">2020-07-28T16:10:00Z</dcterms:created>
  <dcterms:modified xsi:type="dcterms:W3CDTF">2024-03-29T14:33:00Z</dcterms:modified>
</cp:coreProperties>
</file>