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2">
      <w:pPr>
        <w:ind w:left="65" w:firstLine="65"/>
        <w:rPr>
          <w:sz w:val="2"/>
          <w:szCs w:val="2"/>
        </w:rPr>
      </w:pPr>
      <w:r w:rsidDel="00000000" w:rsidR="00000000" w:rsidRPr="00000000">
        <w:rPr>
          <w:rtl w:val="0"/>
        </w:rPr>
      </w:r>
    </w:p>
    <w:tbl>
      <w:tblPr>
        <w:tblStyle w:val="Table1"/>
        <w:tblW w:w="10305.0" w:type="dxa"/>
        <w:jc w:val="center"/>
        <w:tblBorders>
          <w:top w:color="ffffff" w:space="0" w:sz="48" w:val="single"/>
          <w:left w:color="ffffff" w:space="0" w:sz="48" w:val="single"/>
          <w:bottom w:color="ffffff" w:space="0" w:sz="48" w:val="single"/>
          <w:right w:color="ffffff" w:space="0" w:sz="48" w:val="single"/>
          <w:insideH w:color="ffffff" w:space="0" w:sz="48" w:val="single"/>
          <w:insideV w:color="ffffff" w:space="0" w:sz="48" w:val="single"/>
        </w:tblBorders>
        <w:tblLayout w:type="fixed"/>
        <w:tblLook w:val="0600"/>
      </w:tblPr>
      <w:tblGrid>
        <w:gridCol w:w="5370"/>
        <w:gridCol w:w="4935"/>
        <w:tblGridChange w:id="0">
          <w:tblGrid>
            <w:gridCol w:w="5370"/>
            <w:gridCol w:w="4935"/>
          </w:tblGrid>
        </w:tblGridChange>
      </w:tblGrid>
      <w:tr>
        <w:trPr>
          <w:cantSplit w:val="0"/>
          <w:trHeight w:val="1740" w:hRule="atLeast"/>
          <w:tblHeader w:val="0"/>
        </w:trPr>
        <w:tc>
          <w:tcPr>
            <w:gridSpan w:val="2"/>
            <w:tcBorders>
              <w:right w:color="000000" w:space="0" w:sz="0" w:val="nil"/>
            </w:tcBorders>
            <w:shd w:fill="3d85c6" w:val="clear"/>
            <w:tcMar>
              <w:top w:w="181.0" w:type="dxa"/>
              <w:left w:w="181.0" w:type="dxa"/>
              <w:bottom w:w="181.0" w:type="dxa"/>
              <w:right w:w="181.0" w:type="dxa"/>
            </w:tcMar>
          </w:tcPr>
          <w:p w:rsidR="00000000" w:rsidDel="00000000" w:rsidP="00000000" w:rsidRDefault="00000000" w:rsidRPr="00000000" w14:paraId="00000003">
            <w:pPr>
              <w:keepNext w:val="1"/>
              <w:keepLines w:val="1"/>
              <w:spacing w:after="60" w:line="276" w:lineRule="auto"/>
              <w:rPr>
                <w:b w:val="1"/>
                <w:color w:val="ffffff"/>
                <w:sz w:val="48"/>
                <w:szCs w:val="48"/>
              </w:rPr>
            </w:pPr>
            <w:bookmarkStart w:colFirst="0" w:colLast="0" w:name="_heading=h.gjdgxs" w:id="0"/>
            <w:bookmarkEnd w:id="0"/>
            <w:r w:rsidDel="00000000" w:rsidR="00000000" w:rsidRPr="00000000">
              <w:rPr>
                <w:b w:val="1"/>
                <w:color w:val="ffffff"/>
                <w:sz w:val="48"/>
                <w:szCs w:val="48"/>
                <w:rtl w:val="0"/>
              </w:rPr>
              <w:t xml:space="preserve">Segur</w:t>
            </w:r>
            <w:r w:rsidDel="00000000" w:rsidR="00000000" w:rsidRPr="00000000">
              <w:rPr>
                <w:b w:val="1"/>
                <w:color w:val="ffffff"/>
                <w:sz w:val="48"/>
                <w:szCs w:val="48"/>
                <w:rtl w:val="0"/>
              </w:rPr>
              <w:t xml:space="preserve">o “Rachat de caution”</w:t>
            </w:r>
            <w:r w:rsidDel="00000000" w:rsidR="00000000" w:rsidRPr="00000000">
              <w:rPr>
                <w:b w:val="1"/>
                <w:color w:val="ffffff"/>
                <w:sz w:val="48"/>
                <w:szCs w:val="48"/>
                <w:rtl w:val="0"/>
              </w:rPr>
              <w:t xml:space="preserve"> </w:t>
            </w:r>
          </w:p>
          <w:p w:rsidR="00000000" w:rsidDel="00000000" w:rsidP="00000000" w:rsidRDefault="00000000" w:rsidRPr="00000000" w14:paraId="00000004">
            <w:pPr>
              <w:pStyle w:val="Subtitle"/>
              <w:rPr/>
            </w:pPr>
            <w:bookmarkStart w:colFirst="0" w:colLast="0" w:name="_heading=h.8ykp8ptho84y" w:id="1"/>
            <w:bookmarkEnd w:id="1"/>
            <w:r w:rsidDel="00000000" w:rsidR="00000000" w:rsidRPr="00000000">
              <w:rPr>
                <w:rtl w:val="0"/>
              </w:rPr>
              <w:t xml:space="preserve">Documento informativo sobre el seguro</w:t>
            </w:r>
          </w:p>
          <w:p w:rsidR="00000000" w:rsidDel="00000000" w:rsidP="00000000" w:rsidRDefault="00000000" w:rsidRPr="00000000" w14:paraId="00000005">
            <w:pPr>
              <w:spacing w:before="120" w:line="276" w:lineRule="auto"/>
              <w:ind w:left="0" w:firstLine="0"/>
              <w:rPr>
                <w:rFonts w:ascii="Arial" w:cs="Arial" w:eastAsia="Arial" w:hAnsi="Arial"/>
                <w:color w:val="ffffff"/>
              </w:rPr>
            </w:pPr>
            <w:r w:rsidDel="00000000" w:rsidR="00000000" w:rsidRPr="00000000">
              <w:rPr>
                <w:rFonts w:ascii="Arial" w:cs="Arial" w:eastAsia="Arial" w:hAnsi="Arial"/>
                <w:color w:val="ffffff"/>
                <w:rtl w:val="0"/>
              </w:rPr>
              <w:t xml:space="preserve">Empresa: Seyna, SA con un capital de 1 115 800,42€ €, con sede social en 20 bis rue Louis-Philippe, 92200 Neuilly sur Seine, Francia, inscrita en el Registro Mercantil de Nanterre con el número 843 974 635, sociedad regida por el Código de Seguros francés.</w:t>
            </w:r>
          </w:p>
          <w:p w:rsidR="00000000" w:rsidDel="00000000" w:rsidP="00000000" w:rsidRDefault="00000000" w:rsidRPr="00000000" w14:paraId="00000006">
            <w:pPr>
              <w:spacing w:line="276" w:lineRule="auto"/>
              <w:ind w:left="0" w:firstLine="0"/>
              <w:rPr>
                <w:rFonts w:ascii="Arial" w:cs="Arial" w:eastAsia="Arial" w:hAnsi="Arial"/>
                <w:color w:val="ffffff"/>
              </w:rPr>
            </w:pPr>
            <w:r w:rsidDel="00000000" w:rsidR="00000000" w:rsidRPr="00000000">
              <w:rPr>
                <w:rFonts w:ascii="Arial" w:cs="Arial" w:eastAsia="Arial" w:hAnsi="Arial"/>
                <w:color w:val="ffffff"/>
                <w:rtl w:val="0"/>
              </w:rPr>
              <w:t xml:space="preserve">Producto: Rachat de caution</w:t>
            </w:r>
          </w:p>
        </w:tc>
      </w:tr>
      <w:tr>
        <w:trPr>
          <w:cantSplit w:val="0"/>
          <w:trHeight w:val="460" w:hRule="atLeast"/>
          <w:tblHeader w:val="0"/>
        </w:trPr>
        <w:tc>
          <w:tcPr>
            <w:gridSpan w:val="2"/>
            <w:tcBorders>
              <w:right w:color="000000" w:space="0" w:sz="0" w:val="nil"/>
            </w:tcBorders>
            <w:tcMar>
              <w:top w:w="90.0" w:type="dxa"/>
              <w:left w:w="90.0" w:type="dxa"/>
              <w:bottom w:w="90.0" w:type="dxa"/>
              <w:right w:w="90.0" w:type="dxa"/>
            </w:tcMar>
          </w:tcPr>
          <w:p w:rsidR="00000000" w:rsidDel="00000000" w:rsidP="00000000" w:rsidRDefault="00000000" w:rsidRPr="00000000" w14:paraId="00000008">
            <w:pPr>
              <w:spacing w:before="120" w:lineRule="auto"/>
              <w:ind w:left="0" w:firstLine="0"/>
              <w:jc w:val="both"/>
              <w:rPr>
                <w:rFonts w:ascii="Arial" w:cs="Arial" w:eastAsia="Arial" w:hAnsi="Arial"/>
              </w:rPr>
            </w:pPr>
            <w:r w:rsidDel="00000000" w:rsidR="00000000" w:rsidRPr="00000000">
              <w:rPr>
                <w:rFonts w:ascii="Arial" w:cs="Arial" w:eastAsia="Arial" w:hAnsi="Arial"/>
                <w:sz w:val="20"/>
                <w:szCs w:val="20"/>
                <w:rtl w:val="0"/>
              </w:rPr>
              <w:t xml:space="preserve">Este documento informativo es un resumen de las principales coberturas y exclusiones del contrato de seguro núm. n°2sn46 “Rachat de caution”. El folleto de información completo está disponible a pedido en el sitio web de Click&amp;Boat y se le enviará por correo electrónico después de la confirmación de su adhesión.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No tiene en cuenta sus necesidades y peticiones específicas.</w:t>
            </w: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keepNext w:val="1"/>
              <w:keepLines w:val="1"/>
              <w:spacing w:after="120" w:lineRule="auto"/>
              <w:ind w:left="0" w:firstLine="0"/>
              <w:rPr>
                <w:rFonts w:ascii="Arial" w:cs="Arial" w:eastAsia="Arial" w:hAnsi="Arial"/>
                <w:b w:val="1"/>
                <w:sz w:val="28"/>
                <w:szCs w:val="28"/>
              </w:rPr>
            </w:pPr>
            <w:bookmarkStart w:colFirst="0" w:colLast="0" w:name="_heading=h.1fob9te" w:id="2"/>
            <w:bookmarkEnd w:id="2"/>
            <w:r w:rsidDel="00000000" w:rsidR="00000000" w:rsidRPr="00000000">
              <w:rPr>
                <w:rFonts w:ascii="Arial" w:cs="Arial" w:eastAsia="Arial" w:hAnsi="Arial"/>
                <w:b w:val="1"/>
                <w:sz w:val="28"/>
                <w:szCs w:val="28"/>
                <w:rtl w:val="0"/>
              </w:rPr>
              <w:t xml:space="preserve">¿Qué tipo de seguro es?</w:t>
            </w:r>
          </w:p>
          <w:p w:rsidR="00000000" w:rsidDel="00000000" w:rsidP="00000000" w:rsidRDefault="00000000" w:rsidRPr="00000000" w14:paraId="0000000B">
            <w:p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seguro "Rachat de caution" es un contrato colectivo con adhesión opcional que tiene por objeto reembolsar parte del depósito tomado como parte de la reserva en caso de daños observados en la embarcación al finalizar el contrato de alquiler de dicha embarcación.</w:t>
            </w:r>
            <w:r w:rsidDel="00000000" w:rsidR="00000000" w:rsidRPr="00000000">
              <w:rPr>
                <w:rtl w:val="0"/>
              </w:rPr>
            </w:r>
          </w:p>
        </w:tc>
      </w:tr>
      <w:tr>
        <w:trPr>
          <w:cantSplit w:val="0"/>
          <w:trHeight w:val="460" w:hRule="atLeast"/>
          <w:tblHeader w:val="0"/>
        </w:trPr>
        <w:tc>
          <w:tcPr>
            <w:vMerge w:val="restart"/>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0D">
            <w:pPr>
              <w:keepNext w:val="1"/>
              <w:keepLines w:val="1"/>
              <w:spacing w:after="120" w:lineRule="auto"/>
              <w:rPr>
                <w:b w:val="1"/>
                <w:sz w:val="28"/>
                <w:szCs w:val="28"/>
              </w:rPr>
            </w:pPr>
            <w:bookmarkStart w:colFirst="0" w:colLast="0" w:name="_heading=h.3znysh7" w:id="3"/>
            <w:bookmarkEnd w:id="3"/>
            <w:r w:rsidDel="00000000" w:rsidR="00000000" w:rsidRPr="00000000">
              <w:rPr>
                <w:b w:val="1"/>
                <w:sz w:val="28"/>
                <w:szCs w:val="28"/>
                <w:rtl w:val="0"/>
              </w:rPr>
              <w:t xml:space="preserve"> </w:t>
            </w:r>
            <w:r w:rsidDel="00000000" w:rsidR="00000000" w:rsidRPr="00000000">
              <w:drawing>
                <wp:anchor allowOverlap="1" behindDoc="0" distB="57150" distT="57150" distL="57150" distR="57150" hidden="0" layoutInCell="1" locked="0" relativeHeight="0" simplePos="0">
                  <wp:simplePos x="0" y="0"/>
                  <wp:positionH relativeFrom="column">
                    <wp:posOffset>76200</wp:posOffset>
                  </wp:positionH>
                  <wp:positionV relativeFrom="paragraph">
                    <wp:posOffset>57150</wp:posOffset>
                  </wp:positionV>
                  <wp:extent cx="391372" cy="409575"/>
                  <wp:effectExtent b="0" l="0" r="0" t="0"/>
                  <wp:wrapSquare wrapText="bothSides" distB="57150" distT="57150" distL="57150" distR="57150"/>
                  <wp:docPr id="3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91372" cy="409575"/>
                          </a:xfrm>
                          <a:prstGeom prst="rect"/>
                          <a:ln/>
                        </pic:spPr>
                      </pic:pic>
                    </a:graphicData>
                  </a:graphic>
                </wp:anchor>
              </w:drawing>
            </w:r>
          </w:p>
          <w:p w:rsidR="00000000" w:rsidDel="00000000" w:rsidP="00000000" w:rsidRDefault="00000000" w:rsidRPr="00000000" w14:paraId="0000000E">
            <w:pPr>
              <w:keepNext w:val="1"/>
              <w:keepLines w:val="1"/>
              <w:spacing w:after="120" w:lineRule="auto"/>
              <w:ind w:left="566" w:right="229" w:firstLine="65"/>
              <w:rPr>
                <w:rFonts w:ascii="Arial" w:cs="Arial" w:eastAsia="Arial" w:hAnsi="Arial"/>
                <w:b w:val="1"/>
                <w:sz w:val="28"/>
                <w:szCs w:val="28"/>
              </w:rPr>
            </w:pPr>
            <w:bookmarkStart w:colFirst="0" w:colLast="0" w:name="_heading=h.2et92p0" w:id="4"/>
            <w:bookmarkEnd w:id="4"/>
            <w:r w:rsidDel="00000000" w:rsidR="00000000" w:rsidRPr="00000000">
              <w:rPr>
                <w:b w:val="1"/>
                <w:sz w:val="28"/>
                <w:szCs w:val="28"/>
                <w:rtl w:val="0"/>
              </w:rPr>
              <w:t xml:space="preserve"> </w:t>
            </w:r>
            <w:r w:rsidDel="00000000" w:rsidR="00000000" w:rsidRPr="00000000">
              <w:rPr>
                <w:rFonts w:ascii="Arial" w:cs="Arial" w:eastAsia="Arial" w:hAnsi="Arial"/>
                <w:b w:val="1"/>
                <w:sz w:val="28"/>
                <w:szCs w:val="28"/>
                <w:rtl w:val="0"/>
              </w:rPr>
              <w:t xml:space="preserve">¿Qué incluye el seguro?</w:t>
            </w:r>
          </w:p>
          <w:p w:rsidR="00000000" w:rsidDel="00000000" w:rsidP="00000000" w:rsidRDefault="00000000" w:rsidRPr="00000000" w14:paraId="0000000F">
            <w:pPr>
              <w:spacing w:before="120" w:lineRule="auto"/>
              <w:ind w:left="0" w:right="149" w:firstLine="0"/>
              <w:jc w:val="both"/>
              <w:rPr>
                <w:rFonts w:ascii="Arial" w:cs="Arial" w:eastAsia="Arial" w:hAnsi="Arial"/>
                <w:i w:val="1"/>
                <w:sz w:val="18"/>
                <w:szCs w:val="18"/>
              </w:rPr>
            </w:pPr>
            <w:r w:rsidDel="00000000" w:rsidR="00000000" w:rsidRPr="00000000">
              <w:rPr>
                <w:rFonts w:ascii="Arial" w:cs="Arial" w:eastAsia="Arial" w:hAnsi="Arial"/>
                <w:i w:val="1"/>
                <w:sz w:val="20"/>
                <w:szCs w:val="20"/>
                <w:rtl w:val="0"/>
              </w:rPr>
              <w:t xml:space="preserve">Las coberturas precedidas por una marca de verificación </w:t>
            </w:r>
            <w:r w:rsidDel="00000000" w:rsidR="00000000" w:rsidRPr="00000000">
              <w:rPr>
                <w:rFonts w:ascii="Arial" w:cs="Arial" w:eastAsia="Arial" w:hAnsi="Arial"/>
                <w:sz w:val="20"/>
                <w:szCs w:val="20"/>
              </w:rPr>
              <w:drawing>
                <wp:inline distB="0" distT="0" distL="0" distR="0">
                  <wp:extent cx="129231" cy="144000"/>
                  <wp:effectExtent b="0" l="0" r="0" t="0"/>
                  <wp:docPr id="3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29231" cy="144000"/>
                          </a:xfrm>
                          <a:prstGeom prst="rect"/>
                          <a:ln/>
                        </pic:spPr>
                      </pic:pic>
                    </a:graphicData>
                  </a:graphic>
                </wp:inline>
              </w:drawing>
            </w:r>
            <w:r w:rsidDel="00000000" w:rsidR="00000000" w:rsidRPr="00000000">
              <w:rPr>
                <w:rFonts w:ascii="Arial" w:cs="Arial" w:eastAsia="Arial" w:hAnsi="Arial"/>
                <w:i w:val="1"/>
                <w:sz w:val="20"/>
                <w:szCs w:val="20"/>
                <w:rtl w:val="0"/>
              </w:rPr>
              <w:t xml:space="preserve"> se incluyen sistemáticamente en el contrato.</w:t>
            </w: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numPr>
                <w:ilvl w:val="0"/>
                <w:numId w:val="1"/>
              </w:numPr>
              <w:ind w:left="566" w:right="229"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Reembolso de una parte del  depósito</w:t>
            </w:r>
          </w:p>
          <w:p w:rsidR="00000000" w:rsidDel="00000000" w:rsidP="00000000" w:rsidRDefault="00000000" w:rsidRPr="00000000" w14:paraId="00000012">
            <w:pPr>
              <w:ind w:left="0" w:right="229" w:firstLine="0"/>
              <w:rPr/>
            </w:pPr>
            <w:r w:rsidDel="00000000" w:rsidR="00000000" w:rsidRPr="00000000">
              <w:rPr>
                <w:rtl w:val="0"/>
              </w:rPr>
            </w:r>
          </w:p>
          <w:p w:rsidR="00000000" w:rsidDel="00000000" w:rsidP="00000000" w:rsidRDefault="00000000" w:rsidRPr="00000000" w14:paraId="00000013">
            <w:pPr>
              <w:ind w:left="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Límite y  tope</w:t>
            </w:r>
            <w:r w:rsidDel="00000000" w:rsidR="00000000" w:rsidRPr="00000000">
              <w:rPr>
                <w:rFonts w:ascii="Arial" w:cs="Arial" w:eastAsia="Arial" w:hAnsi="Arial"/>
                <w:sz w:val="20"/>
                <w:szCs w:val="20"/>
                <w:rtl w:val="0"/>
              </w:rPr>
              <w:t xml:space="preserve"> : 1 (un) siniestro único por período de seguro hasta el límite del importe del depósito descontado en el marco de la reserva menos una franquicia del 20% aplicada sobre dicho importe descontado y sin que pueda superar los 5.000 euros impuestos incluidos.</w:t>
            </w:r>
            <w:r w:rsidDel="00000000" w:rsidR="00000000" w:rsidRPr="00000000">
              <w:rPr>
                <w:rtl w:val="0"/>
              </w:rPr>
            </w:r>
          </w:p>
          <w:p w:rsidR="00000000" w:rsidDel="00000000" w:rsidP="00000000" w:rsidRDefault="00000000" w:rsidRPr="00000000" w14:paraId="00000014">
            <w:pPr>
              <w:ind w:left="720" w:right="229" w:firstLine="0"/>
              <w:rPr/>
            </w:pPr>
            <w:r w:rsidDel="00000000" w:rsidR="00000000" w:rsidRPr="00000000">
              <w:rPr>
                <w:rtl w:val="0"/>
              </w:rPr>
            </w:r>
          </w:p>
        </w:tc>
        <w:tc>
          <w:tcPr>
            <w:shd w:fill="efefef" w:val="clear"/>
            <w:tcMar>
              <w:top w:w="90.0" w:type="dxa"/>
              <w:left w:w="90.0" w:type="dxa"/>
              <w:bottom w:w="90.0" w:type="dxa"/>
              <w:right w:w="90.0" w:type="dxa"/>
            </w:tcMar>
          </w:tcPr>
          <w:p w:rsidR="00000000" w:rsidDel="00000000" w:rsidP="00000000" w:rsidRDefault="00000000" w:rsidRPr="00000000" w14:paraId="00000015">
            <w:pPr>
              <w:keepNext w:val="1"/>
              <w:keepLines w:val="1"/>
              <w:spacing w:after="120" w:lineRule="auto"/>
              <w:ind w:left="566" w:firstLine="65"/>
              <w:rPr/>
            </w:pPr>
            <w:bookmarkStart w:colFirst="0" w:colLast="0" w:name="_heading=h.tyjcwt" w:id="5"/>
            <w:bookmarkEnd w:id="5"/>
            <w:r w:rsidDel="00000000" w:rsidR="00000000" w:rsidRPr="00000000">
              <w:rPr>
                <w:rtl w:val="0"/>
              </w:rPr>
              <w:t xml:space="preserve"> </w:t>
            </w:r>
            <w:r w:rsidDel="00000000" w:rsidR="00000000" w:rsidRPr="00000000">
              <w:drawing>
                <wp:anchor allowOverlap="1" behindDoc="0" distB="57150" distT="57150" distL="57150" distR="57150" hidden="0" layoutInCell="1" locked="0" relativeHeight="0" simplePos="0">
                  <wp:simplePos x="0" y="0"/>
                  <wp:positionH relativeFrom="column">
                    <wp:posOffset>95250</wp:posOffset>
                  </wp:positionH>
                  <wp:positionV relativeFrom="paragraph">
                    <wp:posOffset>66675</wp:posOffset>
                  </wp:positionV>
                  <wp:extent cx="377904" cy="394335"/>
                  <wp:effectExtent b="0" l="0" r="0" t="0"/>
                  <wp:wrapSquare wrapText="bothSides" distB="57150" distT="57150" distL="57150" distR="57150"/>
                  <wp:docPr id="3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377904" cy="394335"/>
                          </a:xfrm>
                          <a:prstGeom prst="rect"/>
                          <a:ln/>
                        </pic:spPr>
                      </pic:pic>
                    </a:graphicData>
                  </a:graphic>
                </wp:anchor>
              </w:drawing>
            </w:r>
          </w:p>
          <w:p w:rsidR="00000000" w:rsidDel="00000000" w:rsidP="00000000" w:rsidRDefault="00000000" w:rsidRPr="00000000" w14:paraId="00000016">
            <w:pPr>
              <w:keepNext w:val="1"/>
              <w:keepLines w:val="1"/>
              <w:spacing w:after="120" w:lineRule="auto"/>
              <w:ind w:left="566" w:right="225" w:firstLine="65"/>
              <w:rPr>
                <w:rFonts w:ascii="Arial" w:cs="Arial" w:eastAsia="Arial" w:hAnsi="Arial"/>
                <w:b w:val="1"/>
                <w:sz w:val="28"/>
                <w:szCs w:val="28"/>
              </w:rPr>
            </w:pPr>
            <w:bookmarkStart w:colFirst="0" w:colLast="0" w:name="_heading=h.3dy6vkm" w:id="6"/>
            <w:bookmarkEnd w:id="6"/>
            <w:r w:rsidDel="00000000" w:rsidR="00000000" w:rsidRPr="00000000">
              <w:rPr>
                <w:rFonts w:ascii="Arial" w:cs="Arial" w:eastAsia="Arial" w:hAnsi="Arial"/>
                <w:b w:val="1"/>
                <w:sz w:val="28"/>
                <w:szCs w:val="28"/>
                <w:rtl w:val="0"/>
              </w:rPr>
              <w:t xml:space="preserve">¿Qué no incluye el seguro?</w:t>
            </w:r>
          </w:p>
          <w:p w:rsidR="00000000" w:rsidDel="00000000" w:rsidP="00000000" w:rsidRDefault="00000000" w:rsidRPr="00000000" w14:paraId="00000017">
            <w:pPr>
              <w:numPr>
                <w:ilvl w:val="0"/>
                <w:numId w:val="3"/>
              </w:numPr>
              <w:ind w:left="566" w:right="2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barcos en competencia</w:t>
            </w:r>
          </w:p>
          <w:p w:rsidR="00000000" w:rsidDel="00000000" w:rsidP="00000000" w:rsidRDefault="00000000" w:rsidRPr="00000000" w14:paraId="00000018">
            <w:pPr>
              <w:numPr>
                <w:ilvl w:val="0"/>
                <w:numId w:val="3"/>
              </w:numPr>
              <w:ind w:left="566" w:right="2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el equipo auxiliar del barco (bip, bote auxiliar, motor auxiliar)</w:t>
            </w:r>
          </w:p>
        </w:tc>
      </w:tr>
      <w:tr>
        <w:trPr>
          <w:cantSplit w:val="0"/>
          <w:trHeight w:val="420" w:hRule="atLeast"/>
          <w:tblHeader w:val="0"/>
        </w:trPr>
        <w:tc>
          <w:tcPr>
            <w:vMerge w:val="continue"/>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efefef" w:val="clear"/>
            <w:tcMar>
              <w:top w:w="90.0" w:type="dxa"/>
              <w:left w:w="90.0" w:type="dxa"/>
              <w:bottom w:w="90.0" w:type="dxa"/>
              <w:right w:w="90.0" w:type="dxa"/>
            </w:tcMar>
          </w:tcPr>
          <w:p w:rsidR="00000000" w:rsidDel="00000000" w:rsidP="00000000" w:rsidRDefault="00000000" w:rsidRPr="00000000" w14:paraId="0000001A">
            <w:pPr>
              <w:keepNext w:val="1"/>
              <w:keepLines w:val="1"/>
              <w:spacing w:after="120" w:lineRule="auto"/>
              <w:ind w:left="566" w:right="219" w:firstLine="65"/>
              <w:rPr>
                <w:rFonts w:ascii="Arial" w:cs="Arial" w:eastAsia="Arial" w:hAnsi="Arial"/>
                <w:b w:val="1"/>
                <w:sz w:val="28"/>
                <w:szCs w:val="28"/>
              </w:rPr>
            </w:pPr>
            <w:bookmarkStart w:colFirst="0" w:colLast="0" w:name="_heading=h.1t3h5sf" w:id="7"/>
            <w:bookmarkEnd w:id="7"/>
            <w:r w:rsidDel="00000000" w:rsidR="00000000" w:rsidRPr="00000000">
              <w:rPr>
                <w:rFonts w:ascii="Arial" w:cs="Arial" w:eastAsia="Arial" w:hAnsi="Arial"/>
                <w:b w:val="1"/>
                <w:sz w:val="28"/>
                <w:szCs w:val="28"/>
                <w:rtl w:val="0"/>
              </w:rPr>
              <w:t xml:space="preserve">¿Existen exclusiones a la cobertura?</w:t>
            </w:r>
            <w:r w:rsidDel="00000000" w:rsidR="00000000" w:rsidRPr="00000000">
              <w:drawing>
                <wp:anchor allowOverlap="1" behindDoc="0" distB="57150" distT="57150" distL="57150" distR="57150" hidden="0" layoutInCell="1" locked="0" relativeHeight="0" simplePos="0">
                  <wp:simplePos x="0" y="0"/>
                  <wp:positionH relativeFrom="column">
                    <wp:posOffset>95250</wp:posOffset>
                  </wp:positionH>
                  <wp:positionV relativeFrom="paragraph">
                    <wp:posOffset>57150</wp:posOffset>
                  </wp:positionV>
                  <wp:extent cx="358140" cy="373380"/>
                  <wp:effectExtent b="0" l="0" r="0" t="0"/>
                  <wp:wrapSquare wrapText="bothSides" distB="57150" distT="57150" distL="57150" distR="57150"/>
                  <wp:docPr id="31"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358140" cy="373380"/>
                          </a:xfrm>
                          <a:prstGeom prst="rect"/>
                          <a:ln/>
                        </pic:spPr>
                      </pic:pic>
                    </a:graphicData>
                  </a:graphic>
                </wp:anchor>
              </w:drawing>
            </w:r>
          </w:p>
          <w:p w:rsidR="00000000" w:rsidDel="00000000" w:rsidP="00000000" w:rsidRDefault="00000000" w:rsidRPr="00000000" w14:paraId="0000001B">
            <w:pPr>
              <w:ind w:left="566" w:right="219"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Principales exclusiones:</w:t>
            </w:r>
          </w:p>
          <w:p w:rsidR="00000000" w:rsidDel="00000000" w:rsidP="00000000" w:rsidRDefault="00000000" w:rsidRPr="00000000" w14:paraId="0000001C">
            <w:pPr>
              <w:numPr>
                <w:ilvl w:val="0"/>
                <w:numId w:val="2"/>
              </w:numPr>
              <w:ind w:left="566" w:right="219" w:hanging="360"/>
              <w:rPr>
                <w:rFonts w:ascii="Calibri" w:cs="Calibri" w:eastAsia="Calibri" w:hAnsi="Calibri"/>
                <w:sz w:val="20"/>
                <w:szCs w:val="20"/>
              </w:rPr>
            </w:pPr>
            <w:r w:rsidDel="00000000" w:rsidR="00000000" w:rsidRPr="00000000">
              <w:rPr>
                <w:rFonts w:ascii="Arial" w:cs="Arial" w:eastAsia="Arial" w:hAnsi="Arial"/>
                <w:sz w:val="20"/>
                <w:szCs w:val="20"/>
                <w:rtl w:val="0"/>
              </w:rPr>
              <w:t xml:space="preserve">el uso profesional del barco</w:t>
            </w:r>
            <w:r w:rsidDel="00000000" w:rsidR="00000000" w:rsidRPr="00000000">
              <w:rPr>
                <w:rtl w:val="0"/>
              </w:rPr>
            </w:r>
          </w:p>
          <w:p w:rsidR="00000000" w:rsidDel="00000000" w:rsidP="00000000" w:rsidRDefault="00000000" w:rsidRPr="00000000" w14:paraId="0000001D">
            <w:pPr>
              <w:numPr>
                <w:ilvl w:val="0"/>
                <w:numId w:val="2"/>
              </w:numPr>
              <w:ind w:left="566" w:right="219" w:hanging="360"/>
              <w:rPr>
                <w:rFonts w:ascii="Calibri" w:cs="Calibri" w:eastAsia="Calibri" w:hAnsi="Calibri"/>
                <w:sz w:val="20"/>
                <w:szCs w:val="20"/>
              </w:rPr>
            </w:pPr>
            <w:r w:rsidDel="00000000" w:rsidR="00000000" w:rsidRPr="00000000">
              <w:rPr>
                <w:rFonts w:ascii="Arial" w:cs="Arial" w:eastAsia="Arial" w:hAnsi="Arial"/>
                <w:sz w:val="20"/>
                <w:szCs w:val="20"/>
                <w:rtl w:val="0"/>
              </w:rPr>
              <w:t xml:space="preserve">la avería del barco</w:t>
            </w:r>
            <w:r w:rsidDel="00000000" w:rsidR="00000000" w:rsidRPr="00000000">
              <w:rPr>
                <w:rtl w:val="0"/>
              </w:rPr>
            </w:r>
          </w:p>
          <w:p w:rsidR="00000000" w:rsidDel="00000000" w:rsidP="00000000" w:rsidRDefault="00000000" w:rsidRPr="00000000" w14:paraId="0000001E">
            <w:pPr>
              <w:numPr>
                <w:ilvl w:val="0"/>
                <w:numId w:val="2"/>
              </w:numPr>
              <w:ind w:left="566" w:right="219" w:hanging="360"/>
              <w:rPr>
                <w:rFonts w:ascii="Calibri" w:cs="Calibri" w:eastAsia="Calibri" w:hAnsi="Calibri"/>
                <w:sz w:val="20"/>
                <w:szCs w:val="20"/>
              </w:rPr>
            </w:pPr>
            <w:r w:rsidDel="00000000" w:rsidR="00000000" w:rsidRPr="00000000">
              <w:rPr>
                <w:rFonts w:ascii="Arial" w:cs="Arial" w:eastAsia="Arial" w:hAnsi="Arial"/>
                <w:sz w:val="20"/>
                <w:szCs w:val="20"/>
                <w:rtl w:val="0"/>
              </w:rPr>
              <w:t xml:space="preserve">el robo de equipos y accesorios</w:t>
            </w:r>
            <w:r w:rsidDel="00000000" w:rsidR="00000000" w:rsidRPr="00000000">
              <w:rPr>
                <w:rtl w:val="0"/>
              </w:rPr>
            </w:r>
          </w:p>
          <w:p w:rsidR="00000000" w:rsidDel="00000000" w:rsidP="00000000" w:rsidRDefault="00000000" w:rsidRPr="00000000" w14:paraId="0000001F">
            <w:pPr>
              <w:numPr>
                <w:ilvl w:val="0"/>
                <w:numId w:val="2"/>
              </w:numPr>
              <w:ind w:left="566" w:right="219" w:hanging="360"/>
              <w:rPr>
                <w:rFonts w:ascii="Calibri" w:cs="Calibri" w:eastAsia="Calibri" w:hAnsi="Calibri"/>
                <w:sz w:val="20"/>
                <w:szCs w:val="20"/>
              </w:rPr>
            </w:pPr>
            <w:r w:rsidDel="00000000" w:rsidR="00000000" w:rsidRPr="00000000">
              <w:rPr>
                <w:rFonts w:ascii="Arial" w:cs="Arial" w:eastAsia="Arial" w:hAnsi="Arial"/>
                <w:sz w:val="20"/>
                <w:szCs w:val="20"/>
                <w:rtl w:val="0"/>
              </w:rPr>
              <w:t xml:space="preserve">los actos de negligencia por parte del Tomador</w:t>
            </w:r>
          </w:p>
        </w:tc>
      </w:tr>
      <w:tr>
        <w:trPr>
          <w:cantSplit w:val="0"/>
          <w:trHeight w:val="420" w:hRule="atLeast"/>
          <w:tblHeader w:val="0"/>
        </w:trPr>
        <w:tc>
          <w:tcPr>
            <w:gridSpan w:val="2"/>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20">
            <w:pPr>
              <w:keepNext w:val="1"/>
              <w:keepLines w:val="1"/>
              <w:spacing w:after="120" w:lineRule="auto"/>
              <w:rPr>
                <w:b w:val="1"/>
                <w:sz w:val="28"/>
                <w:szCs w:val="28"/>
              </w:rPr>
            </w:pPr>
            <w:bookmarkStart w:colFirst="0" w:colLast="0" w:name="_heading=h.4d34og8" w:id="8"/>
            <w:bookmarkEnd w:id="8"/>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85725</wp:posOffset>
                  </wp:positionH>
                  <wp:positionV relativeFrom="paragraph">
                    <wp:posOffset>57150</wp:posOffset>
                  </wp:positionV>
                  <wp:extent cx="381173" cy="405765"/>
                  <wp:effectExtent b="0" l="0" r="0" t="0"/>
                  <wp:wrapSquare wrapText="bothSides" distB="57150" distT="57150" distL="57150" distR="57150"/>
                  <wp:docPr id="30"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381173" cy="405765"/>
                          </a:xfrm>
                          <a:prstGeom prst="rect"/>
                          <a:ln/>
                        </pic:spPr>
                      </pic:pic>
                    </a:graphicData>
                  </a:graphic>
                </wp:anchor>
              </w:drawing>
            </w:r>
          </w:p>
          <w:p w:rsidR="00000000" w:rsidDel="00000000" w:rsidP="00000000" w:rsidRDefault="00000000" w:rsidRPr="00000000" w14:paraId="00000021">
            <w:pPr>
              <w:keepNext w:val="1"/>
              <w:keepLines w:val="1"/>
              <w:spacing w:after="120" w:lineRule="auto"/>
              <w:ind w:right="203"/>
              <w:rPr>
                <w:rFonts w:ascii="Arial" w:cs="Arial" w:eastAsia="Arial" w:hAnsi="Arial"/>
                <w:b w:val="1"/>
                <w:sz w:val="28"/>
                <w:szCs w:val="28"/>
              </w:rPr>
            </w:pPr>
            <w:bookmarkStart w:colFirst="0" w:colLast="0" w:name="_heading=h.2s8eyo1" w:id="9"/>
            <w:bookmarkEnd w:id="9"/>
            <w:r w:rsidDel="00000000" w:rsidR="00000000" w:rsidRPr="00000000">
              <w:rPr>
                <w:rFonts w:ascii="Arial" w:cs="Arial" w:eastAsia="Arial" w:hAnsi="Arial"/>
                <w:b w:val="1"/>
                <w:sz w:val="28"/>
                <w:szCs w:val="28"/>
                <w:rtl w:val="0"/>
              </w:rPr>
              <w:t xml:space="preserve">¿Qué territorio cubre el seguro?</w:t>
            </w:r>
          </w:p>
          <w:p w:rsidR="00000000" w:rsidDel="00000000" w:rsidP="00000000" w:rsidRDefault="00000000" w:rsidRPr="00000000" w14:paraId="00000022">
            <w:pPr>
              <w:numPr>
                <w:ilvl w:val="0"/>
                <w:numId w:val="4"/>
              </w:numPr>
              <w:spacing w:before="120" w:lineRule="auto"/>
              <w:ind w:left="720" w:right="62.00787401574928" w:hanging="360"/>
              <w:jc w:val="both"/>
              <w:rPr/>
            </w:pPr>
            <w:r w:rsidDel="00000000" w:rsidR="00000000" w:rsidRPr="00000000">
              <w:rPr>
                <w:rFonts w:ascii="Arial" w:cs="Arial" w:eastAsia="Arial" w:hAnsi="Arial"/>
                <w:sz w:val="20"/>
                <w:szCs w:val="20"/>
                <w:rtl w:val="0"/>
              </w:rPr>
              <w:t xml:space="preserve">La garantía se otorga al tomador para siniestros ocurridos en cualquier parte del mundo. Sin embargo, la compensación se hará en Francia y en euros.</w:t>
            </w:r>
            <w:r w:rsidDel="00000000" w:rsidR="00000000" w:rsidRPr="00000000">
              <w:rPr>
                <w:rtl w:val="0"/>
              </w:rPr>
            </w:r>
          </w:p>
        </w:tc>
      </w:tr>
      <w:tr>
        <w:trPr>
          <w:cantSplit w:val="0"/>
          <w:trHeight w:val="420" w:hRule="atLeast"/>
          <w:tblHeader w:val="0"/>
        </w:trPr>
        <w:tc>
          <w:tcPr>
            <w:gridSpan w:val="2"/>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24">
            <w:pPr>
              <w:keepNext w:val="1"/>
              <w:keepLines w:val="1"/>
              <w:spacing w:after="120" w:lineRule="auto"/>
              <w:ind w:left="566" w:hanging="425"/>
              <w:rPr>
                <w:b w:val="1"/>
                <w:sz w:val="28"/>
                <w:szCs w:val="28"/>
              </w:rPr>
            </w:pPr>
            <w:bookmarkStart w:colFirst="0" w:colLast="0" w:name="_heading=h.17dp8vu" w:id="10"/>
            <w:bookmarkEnd w:id="10"/>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76200</wp:posOffset>
                  </wp:positionH>
                  <wp:positionV relativeFrom="paragraph">
                    <wp:posOffset>95250</wp:posOffset>
                  </wp:positionV>
                  <wp:extent cx="394335" cy="400695"/>
                  <wp:effectExtent b="0" l="0" r="0" t="0"/>
                  <wp:wrapSquare wrapText="bothSides" distB="57150" distT="57150" distL="57150" distR="57150"/>
                  <wp:docPr id="3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94335" cy="400695"/>
                          </a:xfrm>
                          <a:prstGeom prst="rect"/>
                          <a:ln/>
                        </pic:spPr>
                      </pic:pic>
                    </a:graphicData>
                  </a:graphic>
                </wp:anchor>
              </w:drawing>
            </w:r>
          </w:p>
          <w:p w:rsidR="00000000" w:rsidDel="00000000" w:rsidP="00000000" w:rsidRDefault="00000000" w:rsidRPr="00000000" w14:paraId="00000025">
            <w:pPr>
              <w:keepNext w:val="1"/>
              <w:keepLines w:val="1"/>
              <w:spacing w:after="120" w:lineRule="auto"/>
              <w:ind w:left="566" w:right="203" w:hanging="425"/>
              <w:rPr>
                <w:rFonts w:ascii="Arial" w:cs="Arial" w:eastAsia="Arial" w:hAnsi="Arial"/>
                <w:b w:val="1"/>
                <w:sz w:val="28"/>
                <w:szCs w:val="28"/>
              </w:rPr>
            </w:pPr>
            <w:bookmarkStart w:colFirst="0" w:colLast="0" w:name="_heading=h.3rdcrjn" w:id="11"/>
            <w:bookmarkEnd w:id="11"/>
            <w:r w:rsidDel="00000000" w:rsidR="00000000" w:rsidRPr="00000000">
              <w:rPr>
                <w:rFonts w:ascii="Arial" w:cs="Arial" w:eastAsia="Arial" w:hAnsi="Arial"/>
                <w:b w:val="1"/>
                <w:sz w:val="28"/>
                <w:szCs w:val="28"/>
                <w:rtl w:val="0"/>
              </w:rPr>
              <w:t xml:space="preserve">¿Cuáles son mis obligaciones?</w:t>
            </w:r>
          </w:p>
          <w:p w:rsidR="00000000" w:rsidDel="00000000" w:rsidP="00000000" w:rsidRDefault="00000000" w:rsidRPr="00000000" w14:paraId="00000026">
            <w:pPr>
              <w:numPr>
                <w:ilvl w:val="0"/>
                <w:numId w:val="5"/>
              </w:numPr>
              <w:ind w:left="720" w:right="192"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 suscribir el contrato:</w:t>
            </w:r>
          </w:p>
          <w:p w:rsidR="00000000" w:rsidDel="00000000" w:rsidP="00000000" w:rsidRDefault="00000000" w:rsidRPr="00000000" w14:paraId="00000027">
            <w:pPr>
              <w:numPr>
                <w:ilvl w:val="1"/>
                <w:numId w:val="5"/>
              </w:numPr>
              <w:ind w:left="1440" w:right="192"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pagar la prima del seguro.</w:t>
            </w:r>
            <w:r w:rsidDel="00000000" w:rsidR="00000000" w:rsidRPr="00000000">
              <w:rPr>
                <w:rtl w:val="0"/>
              </w:rPr>
            </w:r>
          </w:p>
          <w:p w:rsidR="00000000" w:rsidDel="00000000" w:rsidP="00000000" w:rsidRDefault="00000000" w:rsidRPr="00000000" w14:paraId="00000028">
            <w:pPr>
              <w:numPr>
                <w:ilvl w:val="0"/>
                <w:numId w:val="5"/>
              </w:numPr>
              <w:ind w:left="720" w:right="192"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Durante la adhesi</w:t>
            </w:r>
            <w:r w:rsidDel="00000000" w:rsidR="00000000" w:rsidRPr="00000000">
              <w:rPr>
                <w:rFonts w:ascii="Arial" w:cs="Arial" w:eastAsia="Arial" w:hAnsi="Arial"/>
                <w:b w:val="1"/>
                <w:rtl w:val="0"/>
              </w:rPr>
              <w:t xml:space="preserve">ó</w:t>
            </w:r>
            <w:r w:rsidDel="00000000" w:rsidR="00000000" w:rsidRPr="00000000">
              <w:rPr>
                <w:rFonts w:ascii="Arial" w:cs="Arial" w:eastAsia="Arial" w:hAnsi="Arial"/>
                <w:b w:val="1"/>
                <w:sz w:val="20"/>
                <w:szCs w:val="20"/>
                <w:rtl w:val="0"/>
              </w:rPr>
              <w:t xml:space="preserve">n:</w:t>
            </w:r>
          </w:p>
          <w:p w:rsidR="00000000" w:rsidDel="00000000" w:rsidP="00000000" w:rsidRDefault="00000000" w:rsidRPr="00000000" w14:paraId="00000029">
            <w:pPr>
              <w:numPr>
                <w:ilvl w:val="1"/>
                <w:numId w:val="5"/>
              </w:numPr>
              <w:ind w:left="1440" w:right="192"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Declarar cualquier cambio relacionado con los datos del tomador (nombre o dirección postal) al Corredor de seguros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A">
            <w:pPr>
              <w:numPr>
                <w:ilvl w:val="0"/>
                <w:numId w:val="5"/>
              </w:numPr>
              <w:ind w:left="720" w:right="192"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 caso de siniestro:</w:t>
            </w:r>
          </w:p>
          <w:p w:rsidR="00000000" w:rsidDel="00000000" w:rsidP="00000000" w:rsidRDefault="00000000" w:rsidRPr="00000000" w14:paraId="0000002B">
            <w:pPr>
              <w:numPr>
                <w:ilvl w:val="1"/>
                <w:numId w:val="5"/>
              </w:numPr>
              <w:ind w:left="1440" w:right="192"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declarar cualquier siniestro dentro de los plazos y según los procedimientos previstos en el artículo 8 del folleto informativo;</w:t>
            </w:r>
            <w:r w:rsidDel="00000000" w:rsidR="00000000" w:rsidRPr="00000000">
              <w:rPr>
                <w:rtl w:val="0"/>
              </w:rPr>
            </w:r>
          </w:p>
          <w:p w:rsidR="00000000" w:rsidDel="00000000" w:rsidP="00000000" w:rsidRDefault="00000000" w:rsidRPr="00000000" w14:paraId="0000002C">
            <w:pPr>
              <w:numPr>
                <w:ilvl w:val="1"/>
                <w:numId w:val="5"/>
              </w:numPr>
              <w:ind w:left="1440" w:right="192"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proporcionar los documentos de respaldo solicitados;</w:t>
            </w:r>
          </w:p>
          <w:p w:rsidR="00000000" w:rsidDel="00000000" w:rsidP="00000000" w:rsidRDefault="00000000" w:rsidRPr="00000000" w14:paraId="0000002D">
            <w:pPr>
              <w:numPr>
                <w:ilvl w:val="1"/>
                <w:numId w:val="5"/>
              </w:numPr>
              <w:ind w:left="1440" w:right="192"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abstenerse de reparar la propiedad usted mismo.</w:t>
            </w:r>
          </w:p>
          <w:p w:rsidR="00000000" w:rsidDel="00000000" w:rsidP="00000000" w:rsidRDefault="00000000" w:rsidRPr="00000000" w14:paraId="0000002E">
            <w:pPr>
              <w:ind w:left="0" w:right="203" w:firstLine="0"/>
              <w:rPr/>
            </w:pPr>
            <w:r w:rsidDel="00000000" w:rsidR="00000000" w:rsidRPr="00000000">
              <w:rPr>
                <w:rtl w:val="0"/>
              </w:rPr>
            </w:r>
          </w:p>
        </w:tc>
      </w:tr>
      <w:tr>
        <w:trPr>
          <w:cantSplit w:val="0"/>
          <w:trHeight w:val="2550" w:hRule="atLeast"/>
          <w:tblHeader w:val="0"/>
        </w:trPr>
        <w:tc>
          <w:tcPr>
            <w:gridSpan w:val="2"/>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30">
            <w:pPr>
              <w:keepNext w:val="1"/>
              <w:keepLines w:val="1"/>
              <w:spacing w:after="120" w:lineRule="auto"/>
              <w:ind w:left="566" w:hanging="425"/>
              <w:rPr>
                <w:b w:val="1"/>
                <w:sz w:val="28"/>
                <w:szCs w:val="28"/>
              </w:rPr>
            </w:pPr>
            <w:bookmarkStart w:colFirst="0" w:colLast="0" w:name="_heading=h.26in1rg" w:id="12"/>
            <w:bookmarkEnd w:id="12"/>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57150</wp:posOffset>
                  </wp:positionH>
                  <wp:positionV relativeFrom="paragraph">
                    <wp:posOffset>66675</wp:posOffset>
                  </wp:positionV>
                  <wp:extent cx="409044" cy="422910"/>
                  <wp:effectExtent b="0" l="0" r="0" t="0"/>
                  <wp:wrapSquare wrapText="bothSides" distB="57150" distT="57150" distL="57150" distR="57150"/>
                  <wp:docPr id="32"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409044" cy="422910"/>
                          </a:xfrm>
                          <a:prstGeom prst="rect"/>
                          <a:ln/>
                        </pic:spPr>
                      </pic:pic>
                    </a:graphicData>
                  </a:graphic>
                </wp:anchor>
              </w:drawing>
            </w:r>
          </w:p>
          <w:p w:rsidR="00000000" w:rsidDel="00000000" w:rsidP="00000000" w:rsidRDefault="00000000" w:rsidRPr="00000000" w14:paraId="00000031">
            <w:pPr>
              <w:keepNext w:val="1"/>
              <w:keepLines w:val="1"/>
              <w:spacing w:after="120" w:lineRule="auto"/>
              <w:ind w:left="566" w:right="203" w:hanging="425"/>
              <w:rPr>
                <w:rFonts w:ascii="Arial" w:cs="Arial" w:eastAsia="Arial" w:hAnsi="Arial"/>
                <w:b w:val="1"/>
                <w:sz w:val="28"/>
                <w:szCs w:val="28"/>
              </w:rPr>
            </w:pPr>
            <w:bookmarkStart w:colFirst="0" w:colLast="0" w:name="_heading=h.lnxbz9" w:id="13"/>
            <w:bookmarkEnd w:id="13"/>
            <w:r w:rsidDel="00000000" w:rsidR="00000000" w:rsidRPr="00000000">
              <w:rPr>
                <w:rFonts w:ascii="Arial" w:cs="Arial" w:eastAsia="Arial" w:hAnsi="Arial"/>
                <w:b w:val="1"/>
                <w:sz w:val="28"/>
                <w:szCs w:val="28"/>
                <w:rtl w:val="0"/>
              </w:rPr>
              <w:t xml:space="preserve">¿Cuándo y cómo debo realizar los pagos?</w:t>
            </w:r>
          </w:p>
          <w:p w:rsidR="00000000" w:rsidDel="00000000" w:rsidP="00000000" w:rsidRDefault="00000000" w:rsidRPr="00000000" w14:paraId="00000032">
            <w:p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cotización del seguro se calcula en función del importe de la fianza y del número de días de alquiler. Su monto se indica en el certificado de suscripción.</w:t>
            </w:r>
            <w:r w:rsidDel="00000000" w:rsidR="00000000" w:rsidRPr="00000000">
              <w:rPr>
                <w:rtl w:val="0"/>
              </w:rPr>
            </w:r>
          </w:p>
          <w:p w:rsidR="00000000" w:rsidDel="00000000" w:rsidP="00000000" w:rsidRDefault="00000000" w:rsidRPr="00000000" w14:paraId="00000033">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ind w:left="0" w:firstLine="0"/>
              <w:jc w:val="both"/>
              <w:rPr/>
            </w:pPr>
            <w:r w:rsidDel="00000000" w:rsidR="00000000" w:rsidRPr="00000000">
              <w:rPr>
                <w:rFonts w:ascii="Arial" w:cs="Arial" w:eastAsia="Arial" w:hAnsi="Arial"/>
                <w:sz w:val="20"/>
                <w:szCs w:val="20"/>
                <w:rtl w:val="0"/>
              </w:rPr>
              <w:t xml:space="preserve">La cotización del seguro se paga íntegramente al distribuidor el mismo día de la adhesión al contrato.</w:t>
            </w:r>
            <w:r w:rsidDel="00000000" w:rsidR="00000000" w:rsidRPr="00000000">
              <w:rPr>
                <w:rtl w:val="0"/>
              </w:rPr>
            </w:r>
          </w:p>
        </w:tc>
      </w:tr>
      <w:tr>
        <w:trPr>
          <w:cantSplit w:val="0"/>
          <w:trHeight w:val="420" w:hRule="atLeast"/>
          <w:tblHeader w:val="0"/>
        </w:trPr>
        <w:tc>
          <w:tcPr>
            <w:gridSpan w:val="2"/>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36">
            <w:pPr>
              <w:keepNext w:val="1"/>
              <w:keepLines w:val="1"/>
              <w:spacing w:after="120" w:lineRule="auto"/>
              <w:ind w:right="203"/>
              <w:rPr>
                <w:b w:val="1"/>
                <w:sz w:val="28"/>
                <w:szCs w:val="28"/>
              </w:rPr>
            </w:pPr>
            <w:bookmarkStart w:colFirst="0" w:colLast="0" w:name="_heading=h.35nkun2" w:id="14"/>
            <w:bookmarkEnd w:id="14"/>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57150</wp:posOffset>
                  </wp:positionH>
                  <wp:positionV relativeFrom="paragraph">
                    <wp:posOffset>57150</wp:posOffset>
                  </wp:positionV>
                  <wp:extent cx="413385" cy="434405"/>
                  <wp:effectExtent b="0" l="0" r="0" t="0"/>
                  <wp:wrapSquare wrapText="bothSides" distB="57150" distT="57150" distL="57150" distR="57150"/>
                  <wp:docPr id="29"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413385" cy="434405"/>
                          </a:xfrm>
                          <a:prstGeom prst="rect"/>
                          <a:ln/>
                        </pic:spPr>
                      </pic:pic>
                    </a:graphicData>
                  </a:graphic>
                </wp:anchor>
              </w:drawing>
            </w:r>
          </w:p>
          <w:p w:rsidR="00000000" w:rsidDel="00000000" w:rsidP="00000000" w:rsidRDefault="00000000" w:rsidRPr="00000000" w14:paraId="00000037">
            <w:pPr>
              <w:keepNext w:val="1"/>
              <w:keepLines w:val="1"/>
              <w:spacing w:after="120" w:lineRule="auto"/>
              <w:ind w:right="203"/>
              <w:rPr>
                <w:rFonts w:ascii="Arial" w:cs="Arial" w:eastAsia="Arial" w:hAnsi="Arial"/>
                <w:sz w:val="20"/>
                <w:szCs w:val="20"/>
              </w:rPr>
            </w:pPr>
            <w:bookmarkStart w:colFirst="0" w:colLast="0" w:name="_heading=h.1ksv4uv" w:id="15"/>
            <w:bookmarkEnd w:id="15"/>
            <w:r w:rsidDel="00000000" w:rsidR="00000000" w:rsidRPr="00000000">
              <w:rPr>
                <w:rFonts w:ascii="Arial" w:cs="Arial" w:eastAsia="Arial" w:hAnsi="Arial"/>
                <w:b w:val="1"/>
                <w:sz w:val="28"/>
                <w:szCs w:val="28"/>
                <w:rtl w:val="0"/>
              </w:rPr>
              <w:t xml:space="preserve">¿Cuándo comienza y finaliza la cobertura?</w:t>
            </w:r>
            <w:r w:rsidDel="00000000" w:rsidR="00000000" w:rsidRPr="00000000">
              <w:rPr>
                <w:rtl w:val="0"/>
              </w:rPr>
            </w:r>
          </w:p>
          <w:p w:rsidR="00000000" w:rsidDel="00000000" w:rsidP="00000000" w:rsidRDefault="00000000" w:rsidRPr="00000000" w14:paraId="00000038">
            <w:p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garantía entra en vigor el día que el tomador toma posesión del barco y termina con el regreso del barco. </w:t>
            </w:r>
          </w:p>
          <w:p w:rsidR="00000000" w:rsidDel="00000000" w:rsidP="00000000" w:rsidRDefault="00000000" w:rsidRPr="00000000" w14:paraId="00000039">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ind w:left="0" w:firstLine="0"/>
              <w:jc w:val="both"/>
              <w:rPr/>
            </w:pPr>
            <w:r w:rsidDel="00000000" w:rsidR="00000000" w:rsidRPr="00000000">
              <w:rPr>
                <w:rFonts w:ascii="Arial" w:cs="Arial" w:eastAsia="Arial" w:hAnsi="Arial"/>
                <w:sz w:val="20"/>
                <w:szCs w:val="20"/>
                <w:rtl w:val="0"/>
              </w:rPr>
              <w:t xml:space="preserve">La garantía tiene la misma duración que el contrato de alquiler del barco pero puede ser rescindido anticipadamente en los supuestos previstos en el artículo 7.2.</w:t>
            </w:r>
            <w:r w:rsidDel="00000000" w:rsidR="00000000" w:rsidRPr="00000000">
              <w:rPr>
                <w:rtl w:val="0"/>
              </w:rPr>
            </w:r>
          </w:p>
        </w:tc>
      </w:tr>
      <w:tr>
        <w:trPr>
          <w:cantSplit w:val="0"/>
          <w:trHeight w:val="420" w:hRule="atLeast"/>
          <w:tblHeader w:val="0"/>
        </w:trPr>
        <w:tc>
          <w:tcPr>
            <w:gridSpan w:val="2"/>
            <w:tcBorders>
              <w:left w:color="000000" w:space="0" w:sz="0" w:val="nil"/>
            </w:tcBorders>
            <w:shd w:fill="efefef" w:val="clear"/>
            <w:tcMar>
              <w:top w:w="90.0" w:type="dxa"/>
              <w:left w:w="90.0" w:type="dxa"/>
              <w:bottom w:w="90.0" w:type="dxa"/>
              <w:right w:w="90.0" w:type="dxa"/>
            </w:tcMar>
          </w:tcPr>
          <w:p w:rsidR="00000000" w:rsidDel="00000000" w:rsidP="00000000" w:rsidRDefault="00000000" w:rsidRPr="00000000" w14:paraId="0000003C">
            <w:pPr>
              <w:keepNext w:val="1"/>
              <w:keepLines w:val="1"/>
              <w:spacing w:after="120" w:lineRule="auto"/>
              <w:rPr>
                <w:b w:val="1"/>
                <w:sz w:val="28"/>
                <w:szCs w:val="28"/>
              </w:rPr>
            </w:pPr>
            <w:bookmarkStart w:colFirst="0" w:colLast="0" w:name="_heading=h.44sinio" w:id="16"/>
            <w:bookmarkEnd w:id="16"/>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57150</wp:posOffset>
                  </wp:positionH>
                  <wp:positionV relativeFrom="paragraph">
                    <wp:posOffset>57150</wp:posOffset>
                  </wp:positionV>
                  <wp:extent cx="405765" cy="419520"/>
                  <wp:effectExtent b="0" l="0" r="0" t="0"/>
                  <wp:wrapSquare wrapText="bothSides" distB="57150" distT="57150" distL="57150" distR="57150"/>
                  <wp:docPr id="28"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405765" cy="419520"/>
                          </a:xfrm>
                          <a:prstGeom prst="rect"/>
                          <a:ln/>
                        </pic:spPr>
                      </pic:pic>
                    </a:graphicData>
                  </a:graphic>
                </wp:anchor>
              </w:drawing>
            </w:r>
          </w:p>
          <w:p w:rsidR="00000000" w:rsidDel="00000000" w:rsidP="00000000" w:rsidRDefault="00000000" w:rsidRPr="00000000" w14:paraId="0000003D">
            <w:pPr>
              <w:keepNext w:val="1"/>
              <w:keepLines w:val="1"/>
              <w:spacing w:after="120" w:lineRule="auto"/>
              <w:ind w:right="203"/>
              <w:rPr>
                <w:rFonts w:ascii="Arial" w:cs="Arial" w:eastAsia="Arial" w:hAnsi="Arial"/>
                <w:sz w:val="20"/>
                <w:szCs w:val="20"/>
              </w:rPr>
            </w:pPr>
            <w:bookmarkStart w:colFirst="0" w:colLast="0" w:name="_heading=h.2jxsxqh" w:id="17"/>
            <w:bookmarkEnd w:id="17"/>
            <w:r w:rsidDel="00000000" w:rsidR="00000000" w:rsidRPr="00000000">
              <w:rPr>
                <w:b w:val="1"/>
                <w:sz w:val="28"/>
                <w:szCs w:val="28"/>
                <w:rtl w:val="0"/>
              </w:rPr>
              <w:t xml:space="preserve">¿Cómo puedo rescindir el contrato?</w:t>
            </w:r>
            <w:r w:rsidDel="00000000" w:rsidR="00000000" w:rsidRPr="00000000">
              <w:rPr>
                <w:rtl w:val="0"/>
              </w:rPr>
            </w:r>
          </w:p>
          <w:p w:rsidR="00000000" w:rsidDel="00000000" w:rsidP="00000000" w:rsidRDefault="00000000" w:rsidRPr="00000000" w14:paraId="0000003E">
            <w:pPr>
              <w:ind w:left="0" w:firstLine="0"/>
              <w:jc w:val="both"/>
              <w:rPr/>
            </w:pPr>
            <w:r w:rsidDel="00000000" w:rsidR="00000000" w:rsidRPr="00000000">
              <w:rPr>
                <w:rFonts w:ascii="Arial" w:cs="Arial" w:eastAsia="Arial" w:hAnsi="Arial"/>
                <w:sz w:val="20"/>
                <w:szCs w:val="20"/>
                <w:rtl w:val="0"/>
              </w:rPr>
              <w:t xml:space="preserve">La adhesión puede ser rescindida con el corredor de seguros bajo las condiciones indicadas en el folleto de información.</w:t>
            </w:r>
            <w:r w:rsidDel="00000000" w:rsidR="00000000" w:rsidRPr="00000000">
              <w:rPr>
                <w:rtl w:val="0"/>
              </w:rPr>
            </w:r>
          </w:p>
        </w:tc>
      </w:tr>
    </w:tbl>
    <w:p w:rsidR="00000000" w:rsidDel="00000000" w:rsidP="00000000" w:rsidRDefault="00000000" w:rsidRPr="00000000" w14:paraId="00000040">
      <w:pPr>
        <w:ind w:left="0" w:firstLine="0"/>
        <w:rPr>
          <w:sz w:val="2"/>
          <w:szCs w:val="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93c47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1"/>
        <w:color w:val="ff99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
      </w:rPr>
    </w:rPrDefault>
    <w:pPrDefault>
      <w:pPr>
        <w:ind w:left="425"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425" w:right="0" w:hanging="360"/>
      <w:jc w:val="left"/>
    </w:pPr>
    <w:rPr>
      <w:rFonts w:ascii="Calibri" w:cs="Calibri" w:eastAsia="Calibri" w:hAnsi="Calibri"/>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5" w:right="0" w:hanging="36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425" w:right="0" w:hanging="360"/>
      <w:jc w:val="left"/>
    </w:pPr>
    <w:rPr>
      <w:rFonts w:ascii="Calibri" w:cs="Calibri" w:eastAsia="Calibri" w:hAnsi="Calibri"/>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425" w:right="0" w:hanging="360"/>
      <w:jc w:val="left"/>
    </w:pPr>
    <w:rPr>
      <w:rFonts w:ascii="Calibri" w:cs="Calibri" w:eastAsia="Calibri" w:hAnsi="Calibri"/>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425" w:right="0" w:hanging="360"/>
      <w:jc w:val="left"/>
    </w:pPr>
    <w:rPr>
      <w:rFonts w:ascii="Calibri" w:cs="Calibri" w:eastAsia="Calibri" w:hAnsi="Calibri"/>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425" w:right="0" w:hanging="360"/>
      <w:jc w:val="left"/>
    </w:pPr>
    <w:rPr>
      <w:rFonts w:ascii="Calibri" w:cs="Calibri" w:eastAsia="Calibri" w:hAnsi="Calibri"/>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425" w:right="0" w:hanging="360"/>
      <w:jc w:val="left"/>
    </w:pPr>
    <w:rPr>
      <w:rFonts w:ascii="Calibri" w:cs="Calibri" w:eastAsia="Calibri" w:hAnsi="Calibri"/>
      <w:b w:val="1"/>
      <w:i w:val="0"/>
      <w:smallCaps w:val="0"/>
      <w:strike w:val="0"/>
      <w:color w:val="ffffff"/>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425" w:right="0" w:hanging="360"/>
      <w:jc w:val="left"/>
    </w:pPr>
    <w:rPr>
      <w:rFonts w:ascii="Calibri" w:cs="Calibri" w:eastAsia="Calibri" w:hAnsi="Calibri"/>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5" w:right="0" w:hanging="36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425" w:right="0" w:hanging="360"/>
      <w:jc w:val="left"/>
    </w:pPr>
    <w:rPr>
      <w:rFonts w:ascii="Calibri" w:cs="Calibri" w:eastAsia="Calibri" w:hAnsi="Calibri"/>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425" w:right="0" w:hanging="360"/>
      <w:jc w:val="left"/>
    </w:pPr>
    <w:rPr>
      <w:rFonts w:ascii="Calibri" w:cs="Calibri" w:eastAsia="Calibri" w:hAnsi="Calibri"/>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425" w:right="0" w:hanging="360"/>
      <w:jc w:val="left"/>
    </w:pPr>
    <w:rPr>
      <w:rFonts w:ascii="Calibri" w:cs="Calibri" w:eastAsia="Calibri" w:hAnsi="Calibri"/>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425" w:right="0" w:hanging="360"/>
      <w:jc w:val="left"/>
    </w:pPr>
    <w:rPr>
      <w:rFonts w:ascii="Calibri" w:cs="Calibri" w:eastAsia="Calibri" w:hAnsi="Calibri"/>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425" w:right="0" w:hanging="360"/>
      <w:jc w:val="left"/>
    </w:pPr>
    <w:rPr>
      <w:rFonts w:ascii="Calibri" w:cs="Calibri" w:eastAsia="Calibri" w:hAnsi="Calibri"/>
      <w:b w:val="1"/>
      <w:i w:val="0"/>
      <w:smallCaps w:val="0"/>
      <w:strike w:val="0"/>
      <w:color w:val="ffffff"/>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40" w:lineRule="auto"/>
      <w:ind w:left="425" w:right="0" w:hanging="360"/>
      <w:jc w:val="left"/>
    </w:pPr>
    <w:rPr>
      <w:rFonts w:ascii="Calibri" w:cs="Calibri" w:eastAsia="Calibri" w:hAnsi="Calibri"/>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0" w:line="240" w:lineRule="auto"/>
      <w:ind w:left="425" w:right="0" w:hanging="36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40" w:lineRule="auto"/>
      <w:ind w:left="425" w:right="0" w:hanging="360"/>
      <w:jc w:val="left"/>
    </w:pPr>
    <w:rPr>
      <w:rFonts w:ascii="Calibri" w:cs="Calibri" w:eastAsia="Calibri" w:hAnsi="Calibri"/>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425" w:right="0" w:hanging="360"/>
      <w:jc w:val="left"/>
    </w:pPr>
    <w:rPr>
      <w:rFonts w:ascii="Calibri" w:cs="Calibri" w:eastAsia="Calibri" w:hAnsi="Calibri"/>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40" w:lineRule="auto"/>
      <w:ind w:left="425" w:right="0" w:hanging="360"/>
      <w:jc w:val="left"/>
    </w:pPr>
    <w:rPr>
      <w:rFonts w:ascii="Calibri" w:cs="Calibri" w:eastAsia="Calibri" w:hAnsi="Calibri"/>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40" w:lineRule="auto"/>
      <w:ind w:left="425" w:right="0" w:hanging="360"/>
      <w:jc w:val="left"/>
    </w:pPr>
    <w:rPr>
      <w:rFonts w:ascii="Calibri" w:cs="Calibri" w:eastAsia="Calibri" w:hAnsi="Calibri"/>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425" w:right="0" w:hanging="360"/>
      <w:jc w:val="left"/>
    </w:pPr>
    <w:rPr>
      <w:rFonts w:ascii="Calibri" w:cs="Calibri" w:eastAsia="Calibri" w:hAnsi="Calibri"/>
      <w:b w:val="1"/>
      <w:i w:val="0"/>
      <w:smallCaps w:val="0"/>
      <w:strike w:val="0"/>
      <w:color w:val="ffffff"/>
      <w:sz w:val="72"/>
      <w:szCs w:val="72"/>
      <w:u w:val="none"/>
      <w:shd w:fill="auto" w:val="clear"/>
      <w:vertAlign w:val="baseline"/>
    </w:rPr>
  </w:style>
  <w:style w:type="paragraph" w:styleId="Normal" w:default="1">
    <w:name w:val="Normal"/>
    <w:qFormat w:val="1"/>
  </w:style>
  <w:style w:type="paragraph" w:styleId="Titre1">
    <w:name w:val="heading 1"/>
    <w:basedOn w:val="Normal1"/>
    <w:next w:val="Normal1"/>
    <w:pPr>
      <w:keepNext w:val="1"/>
      <w:keepLines w:val="1"/>
      <w:spacing w:after="120" w:before="400"/>
      <w:outlineLvl w:val="0"/>
    </w:pPr>
    <w:rPr>
      <w:sz w:val="40"/>
      <w:szCs w:val="40"/>
    </w:rPr>
  </w:style>
  <w:style w:type="paragraph" w:styleId="Titre2">
    <w:name w:val="heading 2"/>
    <w:basedOn w:val="Normal1"/>
    <w:next w:val="Normal1"/>
    <w:pPr>
      <w:keepNext w:val="1"/>
      <w:keepLines w:val="1"/>
      <w:spacing w:after="120"/>
      <w:outlineLvl w:val="1"/>
    </w:pPr>
    <w:rPr>
      <w:b w:val="1"/>
      <w:sz w:val="28"/>
      <w:szCs w:val="28"/>
    </w:rPr>
  </w:style>
  <w:style w:type="paragraph" w:styleId="Titre3">
    <w:name w:val="heading 3"/>
    <w:basedOn w:val="Normal1"/>
    <w:next w:val="Normal1"/>
    <w:pPr>
      <w:keepNext w:val="1"/>
      <w:keepLines w:val="1"/>
      <w:spacing w:after="80" w:before="320"/>
      <w:outlineLvl w:val="2"/>
    </w:pPr>
    <w:rPr>
      <w:color w:val="434343"/>
      <w:sz w:val="28"/>
      <w:szCs w:val="28"/>
    </w:rPr>
  </w:style>
  <w:style w:type="paragraph" w:styleId="Titre4">
    <w:name w:val="heading 4"/>
    <w:basedOn w:val="Normal1"/>
    <w:next w:val="Normal1"/>
    <w:pPr>
      <w:keepNext w:val="1"/>
      <w:keepLines w:val="1"/>
      <w:spacing w:after="80" w:before="280"/>
      <w:outlineLvl w:val="3"/>
    </w:pPr>
    <w:rPr>
      <w:color w:val="666666"/>
      <w:sz w:val="24"/>
      <w:szCs w:val="24"/>
    </w:rPr>
  </w:style>
  <w:style w:type="paragraph" w:styleId="Titre5">
    <w:name w:val="heading 5"/>
    <w:basedOn w:val="Normal1"/>
    <w:next w:val="Normal1"/>
    <w:pPr>
      <w:keepNext w:val="1"/>
      <w:keepLines w:val="1"/>
      <w:spacing w:after="80" w:before="240"/>
      <w:outlineLvl w:val="4"/>
    </w:pPr>
    <w:rPr>
      <w:color w:val="666666"/>
    </w:rPr>
  </w:style>
  <w:style w:type="paragraph" w:styleId="Titre6">
    <w:name w:val="heading 6"/>
    <w:basedOn w:val="Normal1"/>
    <w:next w:val="Norm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1" w:customStyle="1">
    <w:name w:val="Norm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1"/>
    <w:next w:val="Normal1"/>
    <w:pPr>
      <w:keepNext w:val="1"/>
      <w:keepLines w:val="1"/>
      <w:spacing w:after="60" w:line="276" w:lineRule="auto"/>
    </w:pPr>
    <w:rPr>
      <w:b w:val="1"/>
      <w:color w:val="ffffff"/>
      <w:sz w:val="72"/>
      <w:szCs w:val="72"/>
    </w:rPr>
  </w:style>
  <w:style w:type="paragraph" w:styleId="Sous-titre">
    <w:name w:val="Subtitle"/>
    <w:basedOn w:val="Normal1"/>
    <w:next w:val="Normal1"/>
    <w:pPr>
      <w:keepNext w:val="1"/>
      <w:keepLines w:val="1"/>
      <w:spacing w:line="276" w:lineRule="auto"/>
    </w:pPr>
    <w:rPr>
      <w:rFonts w:ascii="Arial" w:cs="Arial" w:eastAsia="Arial" w:hAnsi="Arial"/>
      <w:b w:val="1"/>
      <w:color w:val="ffffff"/>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Textedebulles">
    <w:name w:val="Balloon Text"/>
    <w:basedOn w:val="Normal"/>
    <w:link w:val="TextedebullesCar"/>
    <w:uiPriority w:val="99"/>
    <w:semiHidden w:val="1"/>
    <w:unhideWhenUsed w:val="1"/>
    <w:rsid w:val="000D38C9"/>
    <w:rPr>
      <w:rFonts w:ascii="Lucida Grande" w:cs="Lucida Grande" w:hAnsi="Lucida Grande"/>
      <w:sz w:val="18"/>
      <w:szCs w:val="18"/>
    </w:rPr>
  </w:style>
  <w:style w:type="character" w:styleId="TextedebullesCar" w:customStyle="1">
    <w:name w:val="Texte de bulles Car"/>
    <w:basedOn w:val="Policepardfaut"/>
    <w:link w:val="Textedebulles"/>
    <w:uiPriority w:val="99"/>
    <w:semiHidden w:val="1"/>
    <w:rsid w:val="000D38C9"/>
    <w:rPr>
      <w:rFonts w:ascii="Lucida Grande" w:cs="Lucida Grande" w:hAnsi="Lucida Grande"/>
      <w:sz w:val="18"/>
      <w:szCs w:val="1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left"/>
    </w:pPr>
    <w:rPr>
      <w:rFonts w:ascii="Arial" w:cs="Arial" w:eastAsia="Arial" w:hAnsi="Arial"/>
      <w:b w:val="1"/>
      <w:i w:val="0"/>
      <w:smallCaps w:val="0"/>
      <w:strike w:val="0"/>
      <w:color w:val="ffffff"/>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left"/>
    </w:pPr>
    <w:rPr>
      <w:rFonts w:ascii="Arial" w:cs="Arial" w:eastAsia="Arial" w:hAnsi="Arial"/>
      <w:b w:val="1"/>
      <w:i w:val="0"/>
      <w:smallCaps w:val="0"/>
      <w:strike w:val="0"/>
      <w:color w:val="ffffff"/>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left"/>
    </w:pPr>
    <w:rPr>
      <w:rFonts w:ascii="Arial" w:cs="Arial" w:eastAsia="Arial" w:hAnsi="Arial"/>
      <w:b w:val="1"/>
      <w:i w:val="0"/>
      <w:smallCaps w:val="0"/>
      <w:strike w:val="0"/>
      <w:color w:val="ffffff"/>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7.png"/><Relationship Id="rId13" Type="http://schemas.openxmlformats.org/officeDocument/2006/relationships/image" Target="media/image5.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2.png"/><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ogNMdXSmeOFNZado0HfUq/OCAQ==">CgMxLjAyCGguZ2pkZ3hzMg5oLjh5a3A4cHRobzg0eTIJaC4xZm9iOXRlMgloLjN6bnlzaDcyCWguMmV0OTJwMDIIaC50eWpjd3QyCWguM2R5NnZrbTIJaC4xdDNoNXNmMgloLjRkMzRvZzgyCWguMnM4ZXlvMTIJaC4xN2RwOHZ1MgloLjNyZGNyam4yCWguMjZpbjFyZzIIaC5sbnhiejkyCWguMzVua3VuMjIJaC4xa3N2NHV2MgloLjQ0c2luaW8yCWguMmp4c3hxaDgAciExTWVvTW1PZnJlT0FVd2dtRWxTZ0U4YTNnYW9ZLU5qL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2020-07-28T16:10:00Z</dcterms:created>
  <dc:creator>Stéphanie Ruscon</dc:creator>
</cp:coreProperties>
</file>