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ind w:left="65"/>
        <w:rPr>
          <w:sz w:val="2"/>
          <w:szCs w:val="2"/>
        </w:rPr>
      </w:pPr>
      <w:r w:rsidDel="00000000" w:rsidR="00000000" w:rsidRPr="00000000">
        <w:rPr>
          <w:rtl w:val="0"/>
        </w:rPr>
      </w:r>
    </w:p>
    <w:tbl>
      <w:tblPr>
        <w:tblStyle w:val="Table1"/>
        <w:tblW w:w="1030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600"/>
      </w:tblPr>
      <w:tblGrid>
        <w:gridCol w:w="5370"/>
        <w:gridCol w:w="4935"/>
        <w:tblGridChange w:id="0">
          <w:tblGrid>
            <w:gridCol w:w="5370"/>
            <w:gridCol w:w="4935"/>
          </w:tblGrid>
        </w:tblGridChange>
      </w:tblGrid>
      <w:tr>
        <w:trPr>
          <w:cantSplit w:val="0"/>
          <w:trHeight w:val="1740" w:hRule="atLeast"/>
          <w:tblHeader w:val="0"/>
        </w:trPr>
        <w:tc>
          <w:tcPr>
            <w:gridSpan w:val="2"/>
            <w:tcBorders>
              <w:right w:color="000000" w:space="0" w:sz="0" w:val="nil"/>
            </w:tcBorders>
            <w:shd w:fill="3d85c6" w:val="clear"/>
            <w:tcMar>
              <w:top w:w="181.0" w:type="dxa"/>
              <w:left w:w="181.0" w:type="dxa"/>
              <w:bottom w:w="181.0" w:type="dxa"/>
              <w:right w:w="181.0" w:type="dxa"/>
            </w:tcMar>
          </w:tcPr>
          <w:p w:rsidR="00000000" w:rsidDel="00000000" w:rsidP="00000000" w:rsidRDefault="00000000" w:rsidRPr="00000000" w14:paraId="00000003">
            <w:pPr>
              <w:keepNext w:val="1"/>
              <w:keepLines w:val="1"/>
              <w:spacing w:after="60" w:line="276" w:lineRule="auto"/>
              <w:rPr>
                <w:b w:val="1"/>
                <w:color w:val="ffffff"/>
                <w:sz w:val="48"/>
                <w:szCs w:val="48"/>
              </w:rPr>
            </w:pPr>
            <w:bookmarkStart w:colFirst="0" w:colLast="0" w:name="_heading=h.gjdgxs" w:id="0"/>
            <w:bookmarkEnd w:id="0"/>
            <w:r w:rsidDel="00000000" w:rsidR="00000000" w:rsidRPr="00000000">
              <w:rPr>
                <w:b w:val="1"/>
                <w:color w:val="ffffff"/>
                <w:sz w:val="48"/>
                <w:szCs w:val="48"/>
                <w:rtl w:val="0"/>
              </w:rPr>
              <w:t xml:space="preserve">Assurance Rachat de caution </w:t>
            </w:r>
          </w:p>
          <w:p w:rsidR="00000000" w:rsidDel="00000000" w:rsidP="00000000" w:rsidRDefault="00000000" w:rsidRPr="00000000" w14:paraId="00000004">
            <w:pPr>
              <w:pStyle w:val="Subtitle"/>
              <w:rPr/>
            </w:pPr>
            <w:bookmarkStart w:colFirst="0" w:colLast="0" w:name="_heading=h.30j0zll" w:id="1"/>
            <w:bookmarkEnd w:id="1"/>
            <w:r w:rsidDel="00000000" w:rsidR="00000000" w:rsidRPr="00000000">
              <w:rPr>
                <w:rtl w:val="0"/>
              </w:rPr>
              <w:t xml:space="preserve">Document d’information sur le produit d’assurance</w:t>
            </w:r>
          </w:p>
          <w:p w:rsidR="00000000" w:rsidDel="00000000" w:rsidP="00000000" w:rsidRDefault="00000000" w:rsidRPr="00000000" w14:paraId="00000005">
            <w:pPr>
              <w:spacing w:before="120" w:line="276"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Compagnie : Seyna, SA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ff"/>
                <w:sz w:val="20"/>
                <w:szCs w:val="20"/>
                <w:rtl w:val="0"/>
              </w:rPr>
              <w:t xml:space="preserve">au capital de 1.115.800,42 € dont le siège social est situé 20 bis rue Louis-Philippe, 92200 Neuilly sur Seine, immatriculée au RCS de Nanterre sous le n°843 974 635, entreprise régie par le code des assurances.</w:t>
            </w:r>
          </w:p>
          <w:p w:rsidR="00000000" w:rsidDel="00000000" w:rsidP="00000000" w:rsidRDefault="00000000" w:rsidRPr="00000000" w14:paraId="00000006">
            <w:pPr>
              <w:spacing w:line="276" w:lineRule="auto"/>
              <w:ind w:left="0" w:firstLine="0"/>
              <w:rPr>
                <w:color w:val="ffffff"/>
              </w:rPr>
            </w:pPr>
            <w:r w:rsidDel="00000000" w:rsidR="00000000" w:rsidRPr="00000000">
              <w:rPr>
                <w:rFonts w:ascii="Arial" w:cs="Arial" w:eastAsia="Arial" w:hAnsi="Arial"/>
                <w:color w:val="ffffff"/>
                <w:sz w:val="20"/>
                <w:szCs w:val="20"/>
                <w:rtl w:val="0"/>
              </w:rPr>
              <w:t xml:space="preserve">Produit: Rachat de caution Click &amp; Boat</w:t>
            </w:r>
            <w:r w:rsidDel="00000000" w:rsidR="00000000" w:rsidRPr="00000000">
              <w:rPr>
                <w:rtl w:val="0"/>
              </w:rPr>
            </w:r>
          </w:p>
        </w:tc>
      </w:tr>
      <w:tr>
        <w:trPr>
          <w:cantSplit w:val="0"/>
          <w:trHeight w:val="460" w:hRule="atLeast"/>
          <w:tblHeader w:val="0"/>
        </w:trPr>
        <w:tc>
          <w:tcPr>
            <w:gridSpan w:val="2"/>
            <w:tcBorders>
              <w:right w:color="000000" w:space="0" w:sz="0" w:val="nil"/>
            </w:tcBorders>
            <w:tcMar>
              <w:top w:w="90.0" w:type="dxa"/>
              <w:left w:w="90.0" w:type="dxa"/>
              <w:bottom w:w="90.0" w:type="dxa"/>
              <w:right w:w="90.0" w:type="dxa"/>
            </w:tcMar>
          </w:tcPr>
          <w:p w:rsidR="00000000" w:rsidDel="00000000" w:rsidP="00000000" w:rsidRDefault="00000000" w:rsidRPr="00000000" w14:paraId="00000008">
            <w:pPr>
              <w:spacing w:before="120" w:lineRule="auto"/>
              <w:ind w:left="0" w:firstLine="0"/>
              <w:jc w:val="both"/>
              <w:rPr/>
            </w:pPr>
            <w:r w:rsidDel="00000000" w:rsidR="00000000" w:rsidRPr="00000000">
              <w:rPr>
                <w:rFonts w:ascii="Arial" w:cs="Arial" w:eastAsia="Arial" w:hAnsi="Arial"/>
                <w:sz w:val="20"/>
                <w:szCs w:val="20"/>
                <w:rtl w:val="0"/>
              </w:rPr>
              <w:t xml:space="preserve">Le présent document d’information est un résumé des principales garanties et exclusions du contrat d’assurance n°2sn46 “Rachat de caution” dont la notice d’information complète est disponible sur demande sur le site Internet de Click&amp;Boat et vous sera envoyé par email après la confirmation de votre adhésion. Il ne prend pas en compte vos besoins et demandes spécifiques.</w:t>
            </w: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keepNext w:val="1"/>
              <w:keepLines w:val="1"/>
              <w:spacing w:after="120" w:lineRule="auto"/>
              <w:ind w:left="0" w:firstLine="0"/>
              <w:rPr>
                <w:b w:val="1"/>
                <w:sz w:val="28"/>
                <w:szCs w:val="28"/>
              </w:rPr>
            </w:pPr>
            <w:bookmarkStart w:colFirst="0" w:colLast="0" w:name="_heading=h.1fob9te" w:id="2"/>
            <w:bookmarkEnd w:id="2"/>
            <w:r w:rsidDel="00000000" w:rsidR="00000000" w:rsidRPr="00000000">
              <w:rPr>
                <w:b w:val="1"/>
                <w:sz w:val="28"/>
                <w:szCs w:val="28"/>
                <w:rtl w:val="0"/>
              </w:rPr>
              <w:t xml:space="preserve">De quel type d’assurance s’agit-il?</w:t>
            </w:r>
          </w:p>
          <w:p w:rsidR="00000000" w:rsidDel="00000000" w:rsidP="00000000" w:rsidRDefault="00000000" w:rsidRPr="00000000" w14:paraId="0000000B">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L'Assurance "Rachat de caution" est un contrat collectif à adhésion facultative qui a pour objet de rembourser une partie de la caution prélevée dans le cadre de la réservation en cas de dommages constatés sur le bateau à la fin du contrat de location dudit bateau.</w:t>
            </w:r>
          </w:p>
        </w:tc>
      </w:tr>
      <w:tr>
        <w:trPr>
          <w:cantSplit w:val="0"/>
          <w:trHeight w:val="460" w:hRule="atLeast"/>
          <w:tblHeader w:val="0"/>
        </w:trPr>
        <w:tc>
          <w:tcPr>
            <w:vMerge w:val="restart"/>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0D">
            <w:pPr>
              <w:keepNext w:val="1"/>
              <w:keepLines w:val="1"/>
              <w:spacing w:after="120" w:lineRule="auto"/>
              <w:rPr>
                <w:b w:val="1"/>
                <w:sz w:val="28"/>
                <w:szCs w:val="28"/>
              </w:rPr>
            </w:pPr>
            <w:bookmarkStart w:colFirst="0" w:colLast="0" w:name="_heading=h.3znysh7" w:id="3"/>
            <w:bookmarkEnd w:id="3"/>
            <w:r w:rsidDel="00000000" w:rsidR="00000000" w:rsidRPr="00000000">
              <w:rPr>
                <w:b w:val="1"/>
                <w:sz w:val="28"/>
                <w:szCs w:val="28"/>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57150</wp:posOffset>
                  </wp:positionV>
                  <wp:extent cx="391372" cy="409575"/>
                  <wp:effectExtent b="0" l="0" r="0" t="0"/>
                  <wp:wrapSquare wrapText="bothSides" distB="57150" distT="57150" distL="57150" distR="57150"/>
                  <wp:docPr id="2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91372" cy="409575"/>
                          </a:xfrm>
                          <a:prstGeom prst="rect"/>
                          <a:ln/>
                        </pic:spPr>
                      </pic:pic>
                    </a:graphicData>
                  </a:graphic>
                </wp:anchor>
              </w:drawing>
            </w:r>
          </w:p>
          <w:p w:rsidR="00000000" w:rsidDel="00000000" w:rsidP="00000000" w:rsidRDefault="00000000" w:rsidRPr="00000000" w14:paraId="0000000E">
            <w:pPr>
              <w:keepNext w:val="1"/>
              <w:keepLines w:val="1"/>
              <w:spacing w:after="120" w:lineRule="auto"/>
              <w:ind w:left="566" w:right="229" w:firstLine="65"/>
              <w:rPr>
                <w:b w:val="1"/>
                <w:sz w:val="28"/>
                <w:szCs w:val="28"/>
              </w:rPr>
            </w:pPr>
            <w:bookmarkStart w:colFirst="0" w:colLast="0" w:name="_heading=h.2et92p0" w:id="4"/>
            <w:bookmarkEnd w:id="4"/>
            <w:r w:rsidDel="00000000" w:rsidR="00000000" w:rsidRPr="00000000">
              <w:rPr>
                <w:b w:val="1"/>
                <w:sz w:val="28"/>
                <w:szCs w:val="28"/>
                <w:rtl w:val="0"/>
              </w:rPr>
              <w:t xml:space="preserve"> Qu’est-ce qui est assuré?</w:t>
            </w:r>
          </w:p>
          <w:p w:rsidR="00000000" w:rsidDel="00000000" w:rsidP="00000000" w:rsidRDefault="00000000" w:rsidRPr="00000000" w14:paraId="0000000F">
            <w:pPr>
              <w:spacing w:before="120" w:lineRule="auto"/>
              <w:ind w:left="0" w:right="149"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Les garanties précédées d’une coche </w:t>
            </w:r>
            <w:r w:rsidDel="00000000" w:rsidR="00000000" w:rsidRPr="00000000">
              <w:rPr>
                <w:rFonts w:ascii="Arial" w:cs="Arial" w:eastAsia="Arial" w:hAnsi="Arial"/>
                <w:i w:val="1"/>
                <w:sz w:val="20"/>
                <w:szCs w:val="20"/>
              </w:rPr>
              <w:drawing>
                <wp:inline distB="0" distT="0" distL="0" distR="0">
                  <wp:extent cx="129231" cy="144000"/>
                  <wp:effectExtent b="0" l="0" r="0" t="0"/>
                  <wp:docPr id="2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9231" cy="144000"/>
                          </a:xfrm>
                          <a:prstGeom prst="rect"/>
                          <a:ln/>
                        </pic:spPr>
                      </pic:pic>
                    </a:graphicData>
                  </a:graphic>
                </wp:inline>
              </w:drawing>
            </w:r>
            <w:r w:rsidDel="00000000" w:rsidR="00000000" w:rsidRPr="00000000">
              <w:rPr>
                <w:rFonts w:ascii="Arial" w:cs="Arial" w:eastAsia="Arial" w:hAnsi="Arial"/>
                <w:i w:val="1"/>
                <w:sz w:val="20"/>
                <w:szCs w:val="20"/>
                <w:rtl w:val="0"/>
              </w:rPr>
              <w:t xml:space="preserve"> sont systématiquement prévues au contrat.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4"/>
              </w:numPr>
              <w:ind w:left="566" w:right="22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Remboursement d'une partie de la caution</w:t>
            </w:r>
          </w:p>
          <w:p w:rsidR="00000000" w:rsidDel="00000000" w:rsidP="00000000" w:rsidRDefault="00000000" w:rsidRPr="00000000" w14:paraId="00000012">
            <w:pPr>
              <w:ind w:left="0" w:right="229" w:firstLine="0"/>
              <w:rPr/>
            </w:pP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Limite et plafond</w:t>
            </w:r>
            <w:r w:rsidDel="00000000" w:rsidR="00000000" w:rsidRPr="00000000">
              <w:rPr>
                <w:rFonts w:ascii="Arial" w:cs="Arial" w:eastAsia="Arial" w:hAnsi="Arial"/>
                <w:sz w:val="20"/>
                <w:szCs w:val="20"/>
                <w:rtl w:val="0"/>
              </w:rPr>
              <w:t xml:space="preserve"> : 1 (un) Sinistre unique par période d'assurance dans la limite </w:t>
            </w:r>
            <w:r w:rsidDel="00000000" w:rsidR="00000000" w:rsidRPr="00000000">
              <w:rPr>
                <w:rFonts w:ascii="Arial" w:cs="Arial" w:eastAsia="Arial" w:hAnsi="Arial"/>
                <w:color w:val="1a2226"/>
                <w:sz w:val="20"/>
                <w:szCs w:val="20"/>
                <w:rtl w:val="0"/>
              </w:rPr>
              <w:t xml:space="preserve">du montant de la caution prélevée dans le cadre de la réservation, sous déduction d’une franchise de 20% sur ce montant prélevé, avec un minimum de 200 euros TTC et un maximum de 5.000 euros TTC</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ind w:left="720" w:right="229" w:firstLine="0"/>
              <w:rPr/>
            </w:pP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5">
            <w:pPr>
              <w:keepNext w:val="1"/>
              <w:keepLines w:val="1"/>
              <w:spacing w:after="120" w:lineRule="auto"/>
              <w:ind w:left="566" w:firstLine="65"/>
              <w:rPr/>
            </w:pPr>
            <w:bookmarkStart w:colFirst="0" w:colLast="0" w:name="_heading=h.tyjcwt" w:id="5"/>
            <w:bookmarkEnd w:id="5"/>
            <w:r w:rsidDel="00000000" w:rsidR="00000000" w:rsidRPr="00000000">
              <w:rPr>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66675</wp:posOffset>
                  </wp:positionV>
                  <wp:extent cx="377904" cy="394335"/>
                  <wp:effectExtent b="0" l="0" r="0" t="0"/>
                  <wp:wrapSquare wrapText="bothSides" distB="57150" distT="57150" distL="57150" distR="57150"/>
                  <wp:docPr id="23"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77904" cy="394335"/>
                          </a:xfrm>
                          <a:prstGeom prst="rect"/>
                          <a:ln/>
                        </pic:spPr>
                      </pic:pic>
                    </a:graphicData>
                  </a:graphic>
                </wp:anchor>
              </w:drawing>
            </w:r>
          </w:p>
          <w:p w:rsidR="00000000" w:rsidDel="00000000" w:rsidP="00000000" w:rsidRDefault="00000000" w:rsidRPr="00000000" w14:paraId="00000016">
            <w:pPr>
              <w:keepNext w:val="1"/>
              <w:keepLines w:val="1"/>
              <w:spacing w:after="120" w:lineRule="auto"/>
              <w:ind w:left="566" w:right="225" w:firstLine="65"/>
              <w:rPr>
                <w:b w:val="1"/>
                <w:sz w:val="28"/>
                <w:szCs w:val="28"/>
              </w:rPr>
            </w:pPr>
            <w:bookmarkStart w:colFirst="0" w:colLast="0" w:name="_heading=h.3dy6vkm" w:id="6"/>
            <w:bookmarkEnd w:id="6"/>
            <w:r w:rsidDel="00000000" w:rsidR="00000000" w:rsidRPr="00000000">
              <w:rPr>
                <w:b w:val="1"/>
                <w:sz w:val="28"/>
                <w:szCs w:val="28"/>
                <w:rtl w:val="0"/>
              </w:rPr>
              <w:t xml:space="preserve">Qu’est-ce qui n’est pas assuré?</w:t>
            </w:r>
          </w:p>
          <w:p w:rsidR="00000000" w:rsidDel="00000000" w:rsidP="00000000" w:rsidRDefault="00000000" w:rsidRPr="00000000" w14:paraId="00000017">
            <w:pPr>
              <w:ind w:left="566" w:right="225" w:hanging="360"/>
              <w:rPr/>
            </w:pPr>
            <w:r w:rsidDel="00000000" w:rsidR="00000000" w:rsidRPr="00000000">
              <w:rPr>
                <w:rtl w:val="0"/>
              </w:rPr>
            </w:r>
          </w:p>
          <w:p w:rsidR="00000000" w:rsidDel="00000000" w:rsidP="00000000" w:rsidRDefault="00000000" w:rsidRPr="00000000" w14:paraId="00000018">
            <w:pPr>
              <w:numPr>
                <w:ilvl w:val="0"/>
                <w:numId w:val="1"/>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les bateaux en compétition</w:t>
            </w:r>
            <w:r w:rsidDel="00000000" w:rsidR="00000000" w:rsidRPr="00000000">
              <w:rPr>
                <w:rtl w:val="0"/>
              </w:rPr>
            </w:r>
          </w:p>
          <w:p w:rsidR="00000000" w:rsidDel="00000000" w:rsidP="00000000" w:rsidRDefault="00000000" w:rsidRPr="00000000" w14:paraId="00000019">
            <w:pPr>
              <w:numPr>
                <w:ilvl w:val="0"/>
                <w:numId w:val="1"/>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les équipements annexes du bateau (bip, annexe, moteur d'annexe)</w:t>
            </w:r>
          </w:p>
        </w:tc>
      </w:tr>
      <w:tr>
        <w:trPr>
          <w:cantSplit w:val="0"/>
          <w:trHeight w:val="420" w:hRule="atLeast"/>
          <w:tblHeader w:val="0"/>
        </w:trPr>
        <w:tc>
          <w:tcPr>
            <w:vMerge w:val="continue"/>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1A">
            <w:pPr>
              <w:widowControl w:val="0"/>
              <w:spacing w:line="276" w:lineRule="auto"/>
              <w:ind w:left="0" w:firstLine="0"/>
              <w:rPr>
                <w:rFonts w:ascii="Arial" w:cs="Arial" w:eastAsia="Arial" w:hAnsi="Arial"/>
                <w:sz w:val="20"/>
                <w:szCs w:val="20"/>
              </w:rPr>
            </w:pP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B">
            <w:pPr>
              <w:keepNext w:val="1"/>
              <w:keepLines w:val="1"/>
              <w:spacing w:after="120" w:lineRule="auto"/>
              <w:ind w:left="566" w:right="219" w:firstLine="65"/>
              <w:rPr>
                <w:b w:val="1"/>
                <w:sz w:val="28"/>
                <w:szCs w:val="28"/>
              </w:rPr>
            </w:pPr>
            <w:bookmarkStart w:colFirst="0" w:colLast="0" w:name="_heading=h.1t3h5sf" w:id="7"/>
            <w:bookmarkEnd w:id="7"/>
            <w:r w:rsidDel="00000000" w:rsidR="00000000" w:rsidRPr="00000000">
              <w:rPr>
                <w:rtl w:val="0"/>
              </w:rPr>
              <w:t xml:space="preserve"> </w:t>
            </w:r>
            <w:r w:rsidDel="00000000" w:rsidR="00000000" w:rsidRPr="00000000">
              <w:rPr>
                <w:b w:val="1"/>
                <w:sz w:val="28"/>
                <w:szCs w:val="28"/>
                <w:rtl w:val="0"/>
              </w:rPr>
              <w:t xml:space="preserve">Y a-t-il des exclusions à la couverture?</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57150</wp:posOffset>
                  </wp:positionV>
                  <wp:extent cx="358140" cy="373380"/>
                  <wp:effectExtent b="0" l="0" r="0" t="0"/>
                  <wp:wrapSquare wrapText="bothSides" distB="57150" distT="57150" distL="57150" distR="57150"/>
                  <wp:docPr id="2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8140" cy="373380"/>
                          </a:xfrm>
                          <a:prstGeom prst="rect"/>
                          <a:ln/>
                        </pic:spPr>
                      </pic:pic>
                    </a:graphicData>
                  </a:graphic>
                </wp:anchor>
              </w:drawing>
            </w:r>
          </w:p>
          <w:p w:rsidR="00000000" w:rsidDel="00000000" w:rsidP="00000000" w:rsidRDefault="00000000" w:rsidRPr="00000000" w14:paraId="0000001C">
            <w:pPr>
              <w:ind w:left="566" w:right="21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Principales exclusions</w:t>
            </w:r>
          </w:p>
          <w:p w:rsidR="00000000" w:rsidDel="00000000" w:rsidP="00000000" w:rsidRDefault="00000000" w:rsidRPr="00000000" w14:paraId="0000001D">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l'utilisation professionnelle du bateau</w:t>
            </w:r>
            <w:r w:rsidDel="00000000" w:rsidR="00000000" w:rsidRPr="00000000">
              <w:rPr>
                <w:rtl w:val="0"/>
              </w:rPr>
            </w:r>
          </w:p>
          <w:p w:rsidR="00000000" w:rsidDel="00000000" w:rsidP="00000000" w:rsidRDefault="00000000" w:rsidRPr="00000000" w14:paraId="0000001E">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la panne du bateau</w:t>
            </w:r>
            <w:r w:rsidDel="00000000" w:rsidR="00000000" w:rsidRPr="00000000">
              <w:rPr>
                <w:rtl w:val="0"/>
              </w:rPr>
            </w:r>
          </w:p>
          <w:p w:rsidR="00000000" w:rsidDel="00000000" w:rsidP="00000000" w:rsidRDefault="00000000" w:rsidRPr="00000000" w14:paraId="0000001F">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le vol de matériel et accastillage</w:t>
            </w:r>
            <w:r w:rsidDel="00000000" w:rsidR="00000000" w:rsidRPr="00000000">
              <w:rPr>
                <w:rtl w:val="0"/>
              </w:rPr>
            </w:r>
          </w:p>
          <w:p w:rsidR="00000000" w:rsidDel="00000000" w:rsidP="00000000" w:rsidRDefault="00000000" w:rsidRPr="00000000" w14:paraId="00000020">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la négligence</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1">
            <w:pPr>
              <w:keepNext w:val="1"/>
              <w:keepLines w:val="1"/>
              <w:spacing w:after="120" w:lineRule="auto"/>
              <w:rPr>
                <w:b w:val="1"/>
                <w:sz w:val="28"/>
                <w:szCs w:val="28"/>
              </w:rPr>
            </w:pPr>
            <w:bookmarkStart w:colFirst="0" w:colLast="0" w:name="_heading=h.4d34og8" w:id="8"/>
            <w:bookmarkEnd w:id="8"/>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85725</wp:posOffset>
                  </wp:positionH>
                  <wp:positionV relativeFrom="paragraph">
                    <wp:posOffset>57150</wp:posOffset>
                  </wp:positionV>
                  <wp:extent cx="381173" cy="405765"/>
                  <wp:effectExtent b="0" l="0" r="0" t="0"/>
                  <wp:wrapSquare wrapText="bothSides" distB="57150" distT="57150" distL="57150" distR="57150"/>
                  <wp:docPr id="2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81173" cy="405765"/>
                          </a:xfrm>
                          <a:prstGeom prst="rect"/>
                          <a:ln/>
                        </pic:spPr>
                      </pic:pic>
                    </a:graphicData>
                  </a:graphic>
                </wp:anchor>
              </w:drawing>
            </w:r>
          </w:p>
          <w:p w:rsidR="00000000" w:rsidDel="00000000" w:rsidP="00000000" w:rsidRDefault="00000000" w:rsidRPr="00000000" w14:paraId="00000022">
            <w:pPr>
              <w:keepNext w:val="1"/>
              <w:keepLines w:val="1"/>
              <w:spacing w:after="120" w:lineRule="auto"/>
              <w:ind w:right="203"/>
              <w:rPr>
                <w:b w:val="1"/>
                <w:sz w:val="28"/>
                <w:szCs w:val="28"/>
              </w:rPr>
            </w:pPr>
            <w:bookmarkStart w:colFirst="0" w:colLast="0" w:name="_heading=h.2s8eyo1" w:id="9"/>
            <w:bookmarkEnd w:id="9"/>
            <w:r w:rsidDel="00000000" w:rsidR="00000000" w:rsidRPr="00000000">
              <w:rPr>
                <w:b w:val="1"/>
                <w:sz w:val="28"/>
                <w:szCs w:val="28"/>
                <w:rtl w:val="0"/>
              </w:rPr>
              <w:t xml:space="preserve">Où suis-je couvert(e)?</w:t>
            </w:r>
          </w:p>
          <w:p w:rsidR="00000000" w:rsidDel="00000000" w:rsidP="00000000" w:rsidRDefault="00000000" w:rsidRPr="00000000" w14:paraId="00000023">
            <w:pPr>
              <w:numPr>
                <w:ilvl w:val="0"/>
                <w:numId w:val="2"/>
              </w:numPr>
              <w:spacing w:before="120" w:lineRule="auto"/>
              <w:ind w:left="720" w:right="62.00787401574928" w:hanging="360"/>
              <w:jc w:val="both"/>
            </w:pPr>
            <w:r w:rsidDel="00000000" w:rsidR="00000000" w:rsidRPr="00000000">
              <w:rPr>
                <w:rFonts w:ascii="Arial" w:cs="Arial" w:eastAsia="Arial" w:hAnsi="Arial"/>
                <w:sz w:val="20"/>
                <w:szCs w:val="20"/>
                <w:rtl w:val="0"/>
              </w:rPr>
              <w:t xml:space="preserve">Dans le monde entier. Toutefois, le remboursement sera effectué en euros. L'assureur ne prend en charge ni la contrevaleur dans la monnaie du pays de résidence de l'assuré ni les éventuels frais bancaires prélevés par la banque de l'assuré. </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5">
            <w:pPr>
              <w:keepNext w:val="1"/>
              <w:keepLines w:val="1"/>
              <w:spacing w:after="120" w:lineRule="auto"/>
              <w:ind w:left="566" w:hanging="425"/>
              <w:rPr>
                <w:b w:val="1"/>
                <w:sz w:val="28"/>
                <w:szCs w:val="28"/>
              </w:rPr>
            </w:pPr>
            <w:bookmarkStart w:colFirst="0" w:colLast="0" w:name="_heading=h.17dp8vu" w:id="10"/>
            <w:bookmarkEnd w:id="10"/>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95250</wp:posOffset>
                  </wp:positionV>
                  <wp:extent cx="394335" cy="400695"/>
                  <wp:effectExtent b="0" l="0" r="0" t="0"/>
                  <wp:wrapSquare wrapText="bothSides" distB="57150" distT="57150" distL="57150" distR="57150"/>
                  <wp:docPr id="2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94335" cy="400695"/>
                          </a:xfrm>
                          <a:prstGeom prst="rect"/>
                          <a:ln/>
                        </pic:spPr>
                      </pic:pic>
                    </a:graphicData>
                  </a:graphic>
                </wp:anchor>
              </w:drawing>
            </w:r>
          </w:p>
          <w:p w:rsidR="00000000" w:rsidDel="00000000" w:rsidP="00000000" w:rsidRDefault="00000000" w:rsidRPr="00000000" w14:paraId="00000026">
            <w:pPr>
              <w:keepNext w:val="1"/>
              <w:keepLines w:val="1"/>
              <w:spacing w:after="120" w:lineRule="auto"/>
              <w:ind w:left="566" w:right="203" w:hanging="425"/>
              <w:rPr>
                <w:b w:val="1"/>
                <w:sz w:val="28"/>
                <w:szCs w:val="28"/>
              </w:rPr>
            </w:pPr>
            <w:bookmarkStart w:colFirst="0" w:colLast="0" w:name="_heading=h.3rdcrjn" w:id="11"/>
            <w:bookmarkEnd w:id="11"/>
            <w:r w:rsidDel="00000000" w:rsidR="00000000" w:rsidRPr="00000000">
              <w:rPr>
                <w:b w:val="1"/>
                <w:sz w:val="28"/>
                <w:szCs w:val="28"/>
                <w:rtl w:val="0"/>
              </w:rPr>
              <w:t xml:space="preserve">Quelles sont mes obligations?</w:t>
            </w:r>
          </w:p>
          <w:p w:rsidR="00000000" w:rsidDel="00000000" w:rsidP="00000000" w:rsidRDefault="00000000" w:rsidRPr="00000000" w14:paraId="00000027">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Lors de l’adhésion :</w:t>
            </w:r>
          </w:p>
          <w:p w:rsidR="00000000" w:rsidDel="00000000" w:rsidP="00000000" w:rsidRDefault="00000000" w:rsidRPr="00000000" w14:paraId="00000028">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payer la cotisation d’assurance.</w:t>
            </w:r>
          </w:p>
          <w:p w:rsidR="00000000" w:rsidDel="00000000" w:rsidP="00000000" w:rsidRDefault="00000000" w:rsidRPr="00000000" w14:paraId="00000029">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 cours d’adhésion :</w:t>
            </w:r>
          </w:p>
          <w:p w:rsidR="00000000" w:rsidDel="00000000" w:rsidP="00000000" w:rsidRDefault="00000000" w:rsidRPr="00000000" w14:paraId="0000002A">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informer le courtier gestionnaire en cas de changement de situation.</w:t>
            </w:r>
          </w:p>
          <w:p w:rsidR="00000000" w:rsidDel="00000000" w:rsidP="00000000" w:rsidRDefault="00000000" w:rsidRPr="00000000" w14:paraId="0000002B">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 cas de sinistre :</w:t>
            </w:r>
          </w:p>
          <w:p w:rsidR="00000000" w:rsidDel="00000000" w:rsidP="00000000" w:rsidRDefault="00000000" w:rsidRPr="00000000" w14:paraId="0000002C">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déclarer tout sinistre dans les délais et selon les modalités prévues à l’article 8 de la notice d’information ;</w:t>
            </w:r>
          </w:p>
          <w:p w:rsidR="00000000" w:rsidDel="00000000" w:rsidP="00000000" w:rsidRDefault="00000000" w:rsidRPr="00000000" w14:paraId="0000002D">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fournir les pièces justificatives demandées ;</w:t>
            </w:r>
          </w:p>
          <w:p w:rsidR="00000000" w:rsidDel="00000000" w:rsidP="00000000" w:rsidRDefault="00000000" w:rsidRPr="00000000" w14:paraId="0000002E">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s’abstenir de réparer soi-même le bien.</w:t>
            </w:r>
          </w:p>
          <w:p w:rsidR="00000000" w:rsidDel="00000000" w:rsidP="00000000" w:rsidRDefault="00000000" w:rsidRPr="00000000" w14:paraId="0000002F">
            <w:pPr>
              <w:ind w:left="0" w:right="203" w:firstLine="0"/>
              <w:rPr/>
            </w:pPr>
            <w:r w:rsidDel="00000000" w:rsidR="00000000" w:rsidRPr="00000000">
              <w:rPr>
                <w:rtl w:val="0"/>
              </w:rPr>
            </w:r>
          </w:p>
        </w:tc>
      </w:tr>
      <w:tr>
        <w:trPr>
          <w:cantSplit w:val="0"/>
          <w:trHeight w:val="255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1">
            <w:pPr>
              <w:keepNext w:val="1"/>
              <w:keepLines w:val="1"/>
              <w:spacing w:after="120" w:lineRule="auto"/>
              <w:ind w:left="566" w:hanging="425"/>
              <w:rPr>
                <w:b w:val="1"/>
                <w:sz w:val="28"/>
                <w:szCs w:val="28"/>
              </w:rPr>
            </w:pPr>
            <w:bookmarkStart w:colFirst="0" w:colLast="0" w:name="_heading=h.26in1rg" w:id="12"/>
            <w:bookmarkEnd w:id="12"/>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66675</wp:posOffset>
                  </wp:positionV>
                  <wp:extent cx="409044" cy="422910"/>
                  <wp:effectExtent b="0" l="0" r="0" t="0"/>
                  <wp:wrapSquare wrapText="bothSides" distB="57150" distT="57150" distL="57150" distR="57150"/>
                  <wp:docPr id="2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09044" cy="422910"/>
                          </a:xfrm>
                          <a:prstGeom prst="rect"/>
                          <a:ln/>
                        </pic:spPr>
                      </pic:pic>
                    </a:graphicData>
                  </a:graphic>
                </wp:anchor>
              </w:drawing>
            </w:r>
          </w:p>
          <w:p w:rsidR="00000000" w:rsidDel="00000000" w:rsidP="00000000" w:rsidRDefault="00000000" w:rsidRPr="00000000" w14:paraId="00000032">
            <w:pPr>
              <w:keepNext w:val="1"/>
              <w:keepLines w:val="1"/>
              <w:spacing w:after="120" w:lineRule="auto"/>
              <w:ind w:left="566" w:right="203" w:hanging="425"/>
              <w:rPr>
                <w:b w:val="1"/>
                <w:sz w:val="28"/>
                <w:szCs w:val="28"/>
              </w:rPr>
            </w:pPr>
            <w:bookmarkStart w:colFirst="0" w:colLast="0" w:name="_heading=h.lnxbz9" w:id="13"/>
            <w:bookmarkEnd w:id="13"/>
            <w:r w:rsidDel="00000000" w:rsidR="00000000" w:rsidRPr="00000000">
              <w:rPr>
                <w:b w:val="1"/>
                <w:sz w:val="28"/>
                <w:szCs w:val="28"/>
                <w:rtl w:val="0"/>
              </w:rPr>
              <w:t xml:space="preserve">Quand et comment effectuer les paiements?</w:t>
            </w:r>
          </w:p>
          <w:p w:rsidR="00000000" w:rsidDel="00000000" w:rsidP="00000000" w:rsidRDefault="00000000" w:rsidRPr="00000000" w14:paraId="00000033">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cotisation d’assurance est calculée en fonction de la valeur de la caution et en fonction du nombre de jours de location. Son montant est indiqué sur le Certificat d’adhésion.</w:t>
            </w:r>
          </w:p>
          <w:p w:rsidR="00000000" w:rsidDel="00000000" w:rsidP="00000000" w:rsidRDefault="00000000" w:rsidRPr="00000000" w14:paraId="00000034">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Fonts w:ascii="Arial" w:cs="Arial" w:eastAsia="Arial" w:hAnsi="Arial"/>
                <w:sz w:val="20"/>
                <w:szCs w:val="20"/>
                <w:rtl w:val="0"/>
              </w:rPr>
              <w:t xml:space="preserve">La cotisation d’assurance est payée dans son intégralité auprès du Distributeur le même jour que l'adhésion au Contrat. </w:t>
            </w:r>
            <w:r w:rsidDel="00000000" w:rsidR="00000000" w:rsidRPr="00000000">
              <w:rPr>
                <w:rtl w:val="0"/>
              </w:rPr>
            </w:r>
          </w:p>
          <w:p w:rsidR="00000000" w:rsidDel="00000000" w:rsidP="00000000" w:rsidRDefault="00000000" w:rsidRPr="00000000" w14:paraId="00000036">
            <w:pPr>
              <w:ind w:left="566" w:hanging="425"/>
              <w:rPr/>
            </w:pP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8">
            <w:pPr>
              <w:keepNext w:val="1"/>
              <w:keepLines w:val="1"/>
              <w:spacing w:after="120" w:lineRule="auto"/>
              <w:ind w:right="203"/>
              <w:rPr>
                <w:b w:val="1"/>
                <w:sz w:val="28"/>
                <w:szCs w:val="28"/>
              </w:rPr>
            </w:pPr>
            <w:bookmarkStart w:colFirst="0" w:colLast="0" w:name="_heading=h.35nkun2" w:id="14"/>
            <w:bookmarkEnd w:id="14"/>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13385" cy="434405"/>
                  <wp:effectExtent b="0" l="0" r="0" t="0"/>
                  <wp:wrapSquare wrapText="bothSides" distB="57150" distT="57150" distL="57150" distR="57150"/>
                  <wp:docPr id="1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13385" cy="434405"/>
                          </a:xfrm>
                          <a:prstGeom prst="rect"/>
                          <a:ln/>
                        </pic:spPr>
                      </pic:pic>
                    </a:graphicData>
                  </a:graphic>
                </wp:anchor>
              </w:drawing>
            </w:r>
          </w:p>
          <w:p w:rsidR="00000000" w:rsidDel="00000000" w:rsidP="00000000" w:rsidRDefault="00000000" w:rsidRPr="00000000" w14:paraId="00000039">
            <w:pPr>
              <w:keepNext w:val="1"/>
              <w:keepLines w:val="1"/>
              <w:spacing w:after="120" w:lineRule="auto"/>
              <w:ind w:right="203"/>
              <w:rPr>
                <w:b w:val="1"/>
                <w:sz w:val="28"/>
                <w:szCs w:val="28"/>
              </w:rPr>
            </w:pPr>
            <w:bookmarkStart w:colFirst="0" w:colLast="0" w:name="_heading=h.1ksv4uv" w:id="15"/>
            <w:bookmarkEnd w:id="15"/>
            <w:r w:rsidDel="00000000" w:rsidR="00000000" w:rsidRPr="00000000">
              <w:rPr>
                <w:b w:val="1"/>
                <w:sz w:val="28"/>
                <w:szCs w:val="28"/>
                <w:rtl w:val="0"/>
              </w:rPr>
              <w:t xml:space="preserve">Quand commence la couverture et quand prend-elle fin? </w:t>
            </w:r>
          </w:p>
          <w:p w:rsidR="00000000" w:rsidDel="00000000" w:rsidP="00000000" w:rsidRDefault="00000000" w:rsidRPr="00000000" w14:paraId="0000003A">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Garantie prend effet le jour de la prise de possession du bateau par l'adhérent et prend fin à sa restitution.</w:t>
            </w:r>
          </w:p>
          <w:p w:rsidR="00000000" w:rsidDel="00000000" w:rsidP="00000000" w:rsidRDefault="00000000" w:rsidRPr="00000000" w14:paraId="0000003B">
            <w:pPr>
              <w:ind w:left="0" w:firstLine="0"/>
              <w:jc w:val="both"/>
              <w:rPr/>
            </w:pPr>
            <w:r w:rsidDel="00000000" w:rsidR="00000000" w:rsidRPr="00000000">
              <w:rPr>
                <w:rFonts w:ascii="Arial" w:cs="Arial" w:eastAsia="Arial" w:hAnsi="Arial"/>
                <w:sz w:val="20"/>
                <w:szCs w:val="20"/>
                <w:rtl w:val="0"/>
              </w:rPr>
              <w:t xml:space="preserve">La Garantie a la même durée que le contrat de location du Bateau mais peut être résiliée de manière anticipée dans les cas énoncés à l'article 7.2.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E">
            <w:pPr>
              <w:keepNext w:val="1"/>
              <w:keepLines w:val="1"/>
              <w:spacing w:after="120" w:lineRule="auto"/>
              <w:rPr>
                <w:b w:val="1"/>
                <w:sz w:val="28"/>
                <w:szCs w:val="28"/>
              </w:rPr>
            </w:pPr>
            <w:bookmarkStart w:colFirst="0" w:colLast="0" w:name="_heading=h.44sinio" w:id="16"/>
            <w:bookmarkEnd w:id="16"/>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05765" cy="419520"/>
                  <wp:effectExtent b="0" l="0" r="0" t="0"/>
                  <wp:wrapSquare wrapText="bothSides" distB="57150" distT="57150" distL="57150" distR="57150"/>
                  <wp:docPr id="24"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05765" cy="419520"/>
                          </a:xfrm>
                          <a:prstGeom prst="rect"/>
                          <a:ln/>
                        </pic:spPr>
                      </pic:pic>
                    </a:graphicData>
                  </a:graphic>
                </wp:anchor>
              </w:drawing>
            </w:r>
          </w:p>
          <w:p w:rsidR="00000000" w:rsidDel="00000000" w:rsidP="00000000" w:rsidRDefault="00000000" w:rsidRPr="00000000" w14:paraId="0000003F">
            <w:pPr>
              <w:keepNext w:val="1"/>
              <w:keepLines w:val="1"/>
              <w:spacing w:after="120" w:lineRule="auto"/>
              <w:ind w:right="203"/>
              <w:rPr>
                <w:b w:val="1"/>
                <w:sz w:val="28"/>
                <w:szCs w:val="28"/>
              </w:rPr>
            </w:pPr>
            <w:bookmarkStart w:colFirst="0" w:colLast="0" w:name="_heading=h.2jxsxqh" w:id="17"/>
            <w:bookmarkEnd w:id="17"/>
            <w:r w:rsidDel="00000000" w:rsidR="00000000" w:rsidRPr="00000000">
              <w:rPr>
                <w:b w:val="1"/>
                <w:sz w:val="28"/>
                <w:szCs w:val="28"/>
                <w:rtl w:val="0"/>
              </w:rPr>
              <w:t xml:space="preserve">Comment puis-je résilier le contrat?</w:t>
            </w:r>
          </w:p>
          <w:p w:rsidR="00000000" w:rsidDel="00000000" w:rsidP="00000000" w:rsidRDefault="00000000" w:rsidRPr="00000000" w14:paraId="00000040">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L'adhésion peut être résiliée auprès du courtier gestionnaire dans les conditions indiquées dans la notice d'information.</w:t>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3">
      <w:pPr>
        <w:ind w:left="0" w:firstLine="0"/>
        <w:rPr>
          <w:sz w:val="2"/>
          <w:szCs w:val="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93c47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1"/>
        <w:color w:val="ff99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ind w:left="425"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qFormat w:val="1"/>
  </w:style>
  <w:style w:type="paragraph" w:styleId="Titre1">
    <w:name w:val="heading 1"/>
    <w:basedOn w:val="Normal1"/>
    <w:next w:val="Normal1"/>
    <w:pPr>
      <w:keepNext w:val="1"/>
      <w:keepLines w:val="1"/>
      <w:spacing w:after="120" w:before="400"/>
      <w:outlineLvl w:val="0"/>
    </w:pPr>
    <w:rPr>
      <w:sz w:val="40"/>
      <w:szCs w:val="40"/>
    </w:rPr>
  </w:style>
  <w:style w:type="paragraph" w:styleId="Titre2">
    <w:name w:val="heading 2"/>
    <w:basedOn w:val="Normal1"/>
    <w:next w:val="Normal1"/>
    <w:pPr>
      <w:keepNext w:val="1"/>
      <w:keepLines w:val="1"/>
      <w:spacing w:after="120"/>
      <w:outlineLvl w:val="1"/>
    </w:pPr>
    <w:rPr>
      <w:b w:val="1"/>
      <w:sz w:val="28"/>
      <w:szCs w:val="28"/>
    </w:rPr>
  </w:style>
  <w:style w:type="paragraph" w:styleId="Titre3">
    <w:name w:val="heading 3"/>
    <w:basedOn w:val="Normal1"/>
    <w:next w:val="Normal1"/>
    <w:pPr>
      <w:keepNext w:val="1"/>
      <w:keepLines w:val="1"/>
      <w:spacing w:after="80" w:before="320"/>
      <w:outlineLvl w:val="2"/>
    </w:pPr>
    <w:rPr>
      <w:color w:val="434343"/>
      <w:sz w:val="28"/>
      <w:szCs w:val="28"/>
    </w:rPr>
  </w:style>
  <w:style w:type="paragraph" w:styleId="Titre4">
    <w:name w:val="heading 4"/>
    <w:basedOn w:val="Normal1"/>
    <w:next w:val="Normal1"/>
    <w:pPr>
      <w:keepNext w:val="1"/>
      <w:keepLines w:val="1"/>
      <w:spacing w:after="80" w:before="280"/>
      <w:outlineLvl w:val="3"/>
    </w:pPr>
    <w:rPr>
      <w:color w:val="666666"/>
      <w:sz w:val="24"/>
      <w:szCs w:val="24"/>
    </w:rPr>
  </w:style>
  <w:style w:type="paragraph" w:styleId="Titre5">
    <w:name w:val="heading 5"/>
    <w:basedOn w:val="Normal1"/>
    <w:next w:val="Normal1"/>
    <w:pPr>
      <w:keepNext w:val="1"/>
      <w:keepLines w:val="1"/>
      <w:spacing w:after="80" w:before="240"/>
      <w:outlineLvl w:val="4"/>
    </w:pPr>
    <w:rPr>
      <w:color w:val="666666"/>
    </w:rPr>
  </w:style>
  <w:style w:type="paragraph" w:styleId="Titre6">
    <w:name w:val="heading 6"/>
    <w:basedOn w:val="Normal1"/>
    <w:next w:val="Norm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1"/>
    <w:next w:val="Normal1"/>
    <w:pPr>
      <w:keepNext w:val="1"/>
      <w:keepLines w:val="1"/>
      <w:spacing w:after="60" w:line="276" w:lineRule="auto"/>
    </w:pPr>
    <w:rPr>
      <w:b w:val="1"/>
      <w:color w:val="ffffff"/>
      <w:sz w:val="72"/>
      <w:szCs w:val="72"/>
    </w:rPr>
  </w:style>
  <w:style w:type="paragraph" w:styleId="Sous-titre">
    <w:name w:val="Subtitle"/>
    <w:basedOn w:val="Normal1"/>
    <w:next w:val="Normal1"/>
    <w:pPr>
      <w:keepNext w:val="1"/>
      <w:keepLines w:val="1"/>
      <w:spacing w:line="276" w:lineRule="auto"/>
    </w:pPr>
    <w:rPr>
      <w:rFonts w:ascii="Arial" w:cs="Arial" w:eastAsia="Arial" w:hAnsi="Arial"/>
      <w:b w:val="1"/>
      <w:color w:val="ffffff"/>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edebulles">
    <w:name w:val="Balloon Text"/>
    <w:basedOn w:val="Normal"/>
    <w:link w:val="TextedebullesCar"/>
    <w:uiPriority w:val="99"/>
    <w:semiHidden w:val="1"/>
    <w:unhideWhenUsed w:val="1"/>
    <w:rsid w:val="000D38C9"/>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0D38C9"/>
    <w:rPr>
      <w:rFonts w:ascii="Lucida Grande" w:cs="Lucida Grande" w:hAnsi="Lucida Grande"/>
      <w:sz w:val="18"/>
      <w:szCs w:val="1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J/6JMKxp8M6bFyuleImKKlkEA==">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2020-07-28T16:10:00Z</dcterms:created>
  <dc:creator>Stéphanie Ruscon</dc:creator>
</cp:coreProperties>
</file>