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9279" w14:textId="16AD0417" w:rsidR="008347DF" w:rsidRDefault="008347DF">
      <w:pPr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</w:p>
    <w:p w14:paraId="50950426" w14:textId="77777777" w:rsidR="008347DF" w:rsidRDefault="008347DF">
      <w:pPr>
        <w:ind w:left="65"/>
        <w:rPr>
          <w:sz w:val="2"/>
          <w:szCs w:val="2"/>
        </w:rPr>
      </w:pPr>
    </w:p>
    <w:tbl>
      <w:tblPr>
        <w:tblStyle w:val="a1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8347DF" w:rsidRPr="002024F5" w14:paraId="59BBACAF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7FCCF79F" w14:textId="77777777" w:rsidR="008347DF" w:rsidRDefault="00931082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48"/>
                <w:szCs w:val="48"/>
              </w:rPr>
              <w:t xml:space="preserve">Försäkring för inlösen av insättningar </w:t>
            </w:r>
          </w:p>
          <w:p w14:paraId="75449C73" w14:textId="77777777" w:rsidR="008347DF" w:rsidRDefault="00931082">
            <w:pPr>
              <w:pStyle w:val="Sous-titre"/>
            </w:pPr>
            <w:bookmarkStart w:id="1" w:name="_heading=h.30j0zll" w:colFirst="0" w:colLast="0"/>
            <w:bookmarkEnd w:id="1"/>
            <w:r>
              <w:t>Informationsdokument för försäkringsprodukter</w:t>
            </w:r>
          </w:p>
          <w:p w14:paraId="6432D432" w14:textId="77777777" w:rsidR="008347DF" w:rsidRDefault="00931082">
            <w:pPr>
              <w:spacing w:before="120" w:line="276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Företag: Seyna, SA med ett kapital på 1 115 800,42 euro, med säte på 20 bis rue Louis-Philippe, 92200 Neuilly sur Seine, registrerat i Nanterres handels- och bolagsregister under nummer 843 974 635, ett företag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som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omfattas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av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försäkringslagen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  <w:p w14:paraId="0D037C13" w14:textId="77777777" w:rsidR="008347DF" w:rsidRPr="002024F5" w:rsidRDefault="00931082">
            <w:pPr>
              <w:spacing w:line="276" w:lineRule="auto"/>
              <w:ind w:left="0" w:firstLine="0"/>
              <w:rPr>
                <w:color w:val="FFFFFF"/>
                <w:lang w:val="en-US"/>
              </w:rPr>
            </w:pPr>
            <w:r w:rsidRPr="002024F5">
              <w:rPr>
                <w:rFonts w:ascii="Arial" w:eastAsia="Arial" w:hAnsi="Arial" w:cs="Arial"/>
                <w:color w:val="FFFFFF"/>
                <w:sz w:val="20"/>
                <w:szCs w:val="20"/>
                <w:lang w:val="en-US"/>
              </w:rPr>
              <w:t>Produkt: Inlösen av Click &amp; Boat Deposit</w:t>
            </w:r>
          </w:p>
        </w:tc>
      </w:tr>
      <w:tr w:rsidR="008347DF" w:rsidRPr="002024F5" w14:paraId="0B1E167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8FDE" w14:textId="77777777" w:rsidR="008347DF" w:rsidRPr="002024F5" w:rsidRDefault="00931082">
            <w:pPr>
              <w:spacing w:before="120"/>
              <w:ind w:left="0" w:firstLine="0"/>
              <w:jc w:val="both"/>
              <w:rPr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Detta informationsdokument är en sammanfattning av de viktigaste garantierna och undantagen i försäkringsavtalet nr 2sn46 "Inlösen av insättningar", vars fullständiga informationsbroschyr finns tillgänglig på begäran på Click&amp;Boats webbplats och kommer att skickas till dig via e-post efter att ditt medlemskap har bekräftats. Den tar inte hänsyn till dina specifika behov och önskemål.</w:t>
            </w:r>
          </w:p>
          <w:p w14:paraId="1B87E668" w14:textId="77777777" w:rsidR="008347DF" w:rsidRPr="002024F5" w:rsidRDefault="008347DF">
            <w:pPr>
              <w:ind w:left="0" w:firstLine="0"/>
              <w:rPr>
                <w:lang w:val="en-US"/>
              </w:rPr>
            </w:pPr>
          </w:p>
          <w:p w14:paraId="479EE472" w14:textId="77777777" w:rsidR="008347DF" w:rsidRPr="002024F5" w:rsidRDefault="00931082">
            <w:pPr>
              <w:keepNext/>
              <w:keepLines/>
              <w:spacing w:after="120"/>
              <w:ind w:left="0" w:firstLine="0"/>
              <w:rPr>
                <w:b/>
                <w:sz w:val="28"/>
                <w:szCs w:val="28"/>
                <w:lang w:val="en-US"/>
              </w:rPr>
            </w:pPr>
            <w:bookmarkStart w:id="2" w:name="_heading=h.1fob9te" w:colFirst="0" w:colLast="0"/>
            <w:bookmarkEnd w:id="2"/>
            <w:r w:rsidRPr="002024F5">
              <w:rPr>
                <w:b/>
                <w:sz w:val="28"/>
                <w:szCs w:val="28"/>
                <w:lang w:val="en-US"/>
              </w:rPr>
              <w:t>Vilken typ av försäkring är det?</w:t>
            </w:r>
          </w:p>
          <w:p w14:paraId="35AEB9E3" w14:textId="77777777" w:rsidR="008347DF" w:rsidRPr="002024F5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Depositionsförsäkringen är ett valfritt gruppavtal som syftar till att återbetala en del av depositionen som tagits som en del av bokningen i händelse av skada på båten i slutet av hyreskontraktet för nämnda båt.</w:t>
            </w:r>
          </w:p>
        </w:tc>
      </w:tr>
      <w:tr w:rsidR="008347DF" w:rsidRPr="002024F5" w14:paraId="019EACDA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2394" w14:textId="77777777" w:rsidR="008347DF" w:rsidRPr="002024F5" w:rsidRDefault="00931082">
            <w:pPr>
              <w:keepNext/>
              <w:keepLines/>
              <w:spacing w:after="120"/>
              <w:rPr>
                <w:b/>
                <w:sz w:val="28"/>
                <w:szCs w:val="28"/>
                <w:lang w:val="en-US"/>
              </w:rPr>
            </w:pPr>
            <w:bookmarkStart w:id="3" w:name="_heading=h.3znysh7" w:colFirst="0" w:colLast="0"/>
            <w:bookmarkEnd w:id="3"/>
            <w:r w:rsidRPr="002024F5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7184AC8D" wp14:editId="09DC99D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1AA86" w14:textId="77777777" w:rsidR="008347DF" w:rsidRPr="002024F5" w:rsidRDefault="00931082">
            <w:pPr>
              <w:keepNext/>
              <w:keepLines/>
              <w:spacing w:after="120"/>
              <w:ind w:left="566" w:right="229" w:firstLine="65"/>
              <w:rPr>
                <w:b/>
                <w:sz w:val="28"/>
                <w:szCs w:val="28"/>
                <w:lang w:val="en-US"/>
              </w:rPr>
            </w:pPr>
            <w:bookmarkStart w:id="4" w:name="_heading=h.2et92p0" w:colFirst="0" w:colLast="0"/>
            <w:bookmarkEnd w:id="4"/>
            <w:r w:rsidRPr="002024F5">
              <w:rPr>
                <w:b/>
                <w:sz w:val="28"/>
                <w:szCs w:val="28"/>
                <w:lang w:val="en-US"/>
              </w:rPr>
              <w:t xml:space="preserve"> Vad är försäkrat?</w:t>
            </w:r>
          </w:p>
          <w:p w14:paraId="28A7B4A4" w14:textId="77777777" w:rsidR="008347DF" w:rsidRPr="002024F5" w:rsidRDefault="00931082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Garantier som föregås av en markering </w:t>
            </w: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6F06368D" wp14:editId="5C67A593">
                  <wp:extent cx="129231" cy="1440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024F5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föreskrivs  systematiskt i avtalet.</w:t>
            </w:r>
          </w:p>
          <w:p w14:paraId="44C9C8E0" w14:textId="77777777" w:rsidR="008347DF" w:rsidRPr="002024F5" w:rsidRDefault="008347DF">
            <w:pPr>
              <w:ind w:left="0" w:firstLine="0"/>
              <w:rPr>
                <w:lang w:val="en-US"/>
              </w:rPr>
            </w:pPr>
          </w:p>
          <w:p w14:paraId="0C2C164A" w14:textId="77777777" w:rsidR="008347DF" w:rsidRDefault="00931082">
            <w:pPr>
              <w:numPr>
                <w:ilvl w:val="0"/>
                <w:numId w:val="4"/>
              </w:numPr>
              <w:ind w:left="566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Återbetalning av en del av depositionen</w:t>
            </w:r>
          </w:p>
          <w:p w14:paraId="125FD15A" w14:textId="77777777" w:rsidR="008347DF" w:rsidRDefault="008347DF">
            <w:pPr>
              <w:ind w:left="0" w:right="229" w:firstLine="0"/>
            </w:pPr>
          </w:p>
          <w:p w14:paraId="00EF3394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Gräns och tak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1 (en) Enskilt anspråk per försäkringsperiod inom gränsen  för </w:t>
            </w:r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det depositionsbelopp som tas ut som en del av bokningen, med avdrag för en självrisk på 20 % av detta avdragna belopp, med ett minimum på 200 euro inklusive moms och högst 5 000 euro inklusive moms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9A6BFC" w14:textId="77777777" w:rsidR="008347DF" w:rsidRDefault="008347DF">
            <w:pPr>
              <w:ind w:left="720" w:right="229" w:firstLine="0"/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DBC" w14:textId="77777777" w:rsidR="008347DF" w:rsidRDefault="00931082">
            <w:pPr>
              <w:keepNext/>
              <w:keepLines/>
              <w:spacing w:after="120"/>
              <w:ind w:left="566" w:firstLine="65"/>
            </w:pPr>
            <w:bookmarkStart w:id="5" w:name="_heading=h.tyjcwt" w:colFirst="0" w:colLast="0"/>
            <w:bookmarkEnd w:id="5"/>
            <w: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0F47D70A" wp14:editId="52115D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08E5A1" w14:textId="77777777" w:rsidR="008347DF" w:rsidRDefault="00931082">
            <w:pPr>
              <w:keepNext/>
              <w:keepLines/>
              <w:spacing w:after="120"/>
              <w:ind w:left="566" w:right="225" w:firstLine="65"/>
              <w:rPr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b/>
                <w:sz w:val="28"/>
                <w:szCs w:val="28"/>
              </w:rPr>
              <w:t xml:space="preserve">Vad är inte </w:t>
            </w:r>
            <w:proofErr w:type="gramStart"/>
            <w:r>
              <w:rPr>
                <w:b/>
                <w:sz w:val="28"/>
                <w:szCs w:val="28"/>
              </w:rPr>
              <w:t>försäkrat?</w:t>
            </w:r>
            <w:proofErr w:type="gramEnd"/>
          </w:p>
          <w:p w14:paraId="335E0B09" w14:textId="77777777" w:rsidR="008347DF" w:rsidRDefault="008347DF">
            <w:pPr>
              <w:ind w:left="566" w:right="225"/>
            </w:pPr>
          </w:p>
          <w:p w14:paraId="39DA1EED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Båtar i tävling</w:t>
            </w:r>
          </w:p>
          <w:p w14:paraId="7FE14EF3" w14:textId="77777777" w:rsidR="008347DF" w:rsidRPr="002024F5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båtens hjälputrustning (pip, jolle, jollemotor)</w:t>
            </w:r>
          </w:p>
        </w:tc>
      </w:tr>
      <w:tr w:rsidR="008347DF" w14:paraId="5627145B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9E250" w14:textId="77777777" w:rsidR="008347DF" w:rsidRPr="002024F5" w:rsidRDefault="008347DF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FCF7" w14:textId="77777777" w:rsidR="008347DF" w:rsidRPr="002024F5" w:rsidRDefault="00931082">
            <w:pPr>
              <w:keepNext/>
              <w:keepLines/>
              <w:spacing w:after="120"/>
              <w:ind w:left="566" w:right="219" w:firstLine="65"/>
              <w:rPr>
                <w:b/>
                <w:sz w:val="28"/>
                <w:szCs w:val="28"/>
                <w:lang w:val="en-US"/>
              </w:rPr>
            </w:pPr>
            <w:bookmarkStart w:id="7" w:name="_heading=h.1t3h5sf" w:colFirst="0" w:colLast="0"/>
            <w:bookmarkEnd w:id="7"/>
            <w:r w:rsidRPr="002024F5">
              <w:rPr>
                <w:lang w:val="en-US"/>
              </w:rPr>
              <w:t xml:space="preserve"> </w:t>
            </w:r>
            <w:r w:rsidRPr="002024F5">
              <w:rPr>
                <w:b/>
                <w:sz w:val="28"/>
                <w:szCs w:val="28"/>
                <w:lang w:val="en-US"/>
              </w:rPr>
              <w:t>Finns det några undantag för täckning?</w:t>
            </w:r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7F4CDE8D" wp14:editId="4302D3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34763B" w14:textId="77777777" w:rsidR="008347DF" w:rsidRDefault="00931082">
            <w:pPr>
              <w:ind w:left="566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Viktiga undantag</w:t>
            </w:r>
          </w:p>
          <w:p w14:paraId="63A8A1DA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Professionell användning av båten</w:t>
            </w:r>
          </w:p>
          <w:p w14:paraId="57562207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Båtens haveri</w:t>
            </w:r>
          </w:p>
          <w:p w14:paraId="1E644DB9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Stöld av utrustning och inventarier</w:t>
            </w:r>
          </w:p>
          <w:p w14:paraId="09066A42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Försumma</w:t>
            </w:r>
          </w:p>
        </w:tc>
      </w:tr>
      <w:tr w:rsidR="008347DF" w:rsidRPr="002024F5" w14:paraId="37448D4F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D19C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noProof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5E83BCEE" wp14:editId="7EF3DA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2A0C63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b/>
                <w:sz w:val="28"/>
                <w:szCs w:val="28"/>
              </w:rPr>
              <w:t xml:space="preserve">Var är jag </w:t>
            </w:r>
            <w:proofErr w:type="gramStart"/>
            <w:r>
              <w:rPr>
                <w:b/>
                <w:sz w:val="28"/>
                <w:szCs w:val="28"/>
              </w:rPr>
              <w:t>försäkrad?</w:t>
            </w:r>
            <w:proofErr w:type="gramEnd"/>
          </w:p>
          <w:p w14:paraId="1B2A0D15" w14:textId="77777777" w:rsidR="008347DF" w:rsidRPr="002024F5" w:rsidRDefault="00931082">
            <w:pPr>
              <w:numPr>
                <w:ilvl w:val="0"/>
                <w:numId w:val="2"/>
              </w:numPr>
              <w:spacing w:before="120"/>
              <w:ind w:right="62"/>
              <w:jc w:val="both"/>
              <w:rPr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Över hela världen. Återbetalningen kommer dock att göras i euro. Försäkringsgivaren betalar inte för motsvarande värde i valutan i den försäkrades bosättningsland eller för bankavgifter som tas ut av den försäkrades bank. </w:t>
            </w:r>
          </w:p>
        </w:tc>
      </w:tr>
      <w:tr w:rsidR="008347DF" w:rsidRPr="002024F5" w14:paraId="5B6B69E7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EFC2" w14:textId="77777777" w:rsidR="008347DF" w:rsidRPr="002024F5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  <w:lang w:val="en-US"/>
              </w:rPr>
            </w:pPr>
            <w:bookmarkStart w:id="10" w:name="_heading=h.17dp8vu" w:colFirst="0" w:colLast="0"/>
            <w:bookmarkEnd w:id="10"/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6C0EFA2F" wp14:editId="15A0C9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13BA12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1" w:name="_heading=h.3rdcrjn" w:colFirst="0" w:colLast="0"/>
            <w:bookmarkEnd w:id="11"/>
            <w:r>
              <w:rPr>
                <w:b/>
                <w:sz w:val="28"/>
                <w:szCs w:val="28"/>
              </w:rPr>
              <w:t xml:space="preserve">Vilka är mina </w:t>
            </w:r>
            <w:proofErr w:type="gramStart"/>
            <w:r>
              <w:rPr>
                <w:b/>
                <w:sz w:val="28"/>
                <w:szCs w:val="28"/>
              </w:rPr>
              <w:t>skyldigheter?</w:t>
            </w:r>
            <w:proofErr w:type="gramEnd"/>
          </w:p>
          <w:p w14:paraId="59D62126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När du går med:</w:t>
            </w:r>
          </w:p>
          <w:p w14:paraId="06C29C21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betala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försäkringspremien.</w:t>
            </w:r>
          </w:p>
          <w:p w14:paraId="72EC51FC" w14:textId="77777777" w:rsidR="008347DF" w:rsidRPr="002024F5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 färd med att gå med:</w:t>
            </w:r>
          </w:p>
          <w:p w14:paraId="6F1232FF" w14:textId="77777777" w:rsidR="008347DF" w:rsidRPr="002024F5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informera återförsäljarchefen i händelse av ändrade omständigheter.</w:t>
            </w:r>
          </w:p>
          <w:p w14:paraId="283B439E" w14:textId="77777777" w:rsidR="008347DF" w:rsidRPr="002024F5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 händelse av en fordran:</w:t>
            </w:r>
          </w:p>
          <w:p w14:paraId="049DDC4B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anmäla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alla anspråk inom de tidsfrister och i enlighet med de förfaranden som anges i artikel 8 i informationsmeddelandet,</w:t>
            </w:r>
          </w:p>
          <w:p w14:paraId="3718DF32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tillhandahålla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begärda styrkande handlingarna,</w:t>
            </w:r>
          </w:p>
          <w:p w14:paraId="5037529C" w14:textId="77777777" w:rsidR="008347DF" w:rsidRPr="002024F5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Avstå från att reparera fastigheten själv.</w:t>
            </w:r>
          </w:p>
          <w:p w14:paraId="75691584" w14:textId="77777777" w:rsidR="008347DF" w:rsidRPr="002024F5" w:rsidRDefault="008347DF">
            <w:pPr>
              <w:ind w:left="0" w:right="203" w:firstLine="0"/>
              <w:rPr>
                <w:lang w:val="en-US"/>
              </w:rPr>
            </w:pPr>
          </w:p>
        </w:tc>
      </w:tr>
      <w:tr w:rsidR="008347DF" w:rsidRPr="002024F5" w14:paraId="6830F746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B3FC" w14:textId="77777777" w:rsidR="008347DF" w:rsidRPr="002024F5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  <w:lang w:val="en-US"/>
              </w:rPr>
            </w:pPr>
            <w:bookmarkStart w:id="12" w:name="_heading=h.26in1rg" w:colFirst="0" w:colLast="0"/>
            <w:bookmarkEnd w:id="12"/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5464A06C" wp14:editId="336B352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7A80E" w14:textId="77777777" w:rsidR="008347DF" w:rsidRPr="002024F5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  <w:lang w:val="en-US"/>
              </w:rPr>
            </w:pPr>
            <w:bookmarkStart w:id="13" w:name="_heading=h.lnxbz9" w:colFirst="0" w:colLast="0"/>
            <w:bookmarkEnd w:id="13"/>
            <w:r w:rsidRPr="002024F5">
              <w:rPr>
                <w:b/>
                <w:sz w:val="28"/>
                <w:szCs w:val="28"/>
                <w:lang w:val="en-US"/>
              </w:rPr>
              <w:t>När och hur ska man göra betalningar?</w:t>
            </w:r>
          </w:p>
          <w:p w14:paraId="24A7154D" w14:textId="77777777" w:rsidR="008347DF" w:rsidRPr="002024F5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Försäkringspremien beräknas utifrån depositionens värde och antalet hyresdagar. Beloppet anges på medlemsbeviset.</w:t>
            </w:r>
          </w:p>
          <w:p w14:paraId="38E8FA53" w14:textId="77777777" w:rsidR="008347DF" w:rsidRPr="002024F5" w:rsidRDefault="008347DF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CD80357" w14:textId="77777777" w:rsidR="008347DF" w:rsidRPr="002024F5" w:rsidRDefault="00931082">
            <w:pPr>
              <w:ind w:left="0" w:firstLine="0"/>
              <w:jc w:val="both"/>
              <w:rPr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Försäkringspremien betalas i sin helhet till Distributören samma dag som Avtalet undertecknas. </w:t>
            </w:r>
          </w:p>
          <w:p w14:paraId="6604FB7E" w14:textId="77777777" w:rsidR="008347DF" w:rsidRPr="002024F5" w:rsidRDefault="008347DF">
            <w:pPr>
              <w:ind w:left="566" w:hanging="425"/>
              <w:rPr>
                <w:lang w:val="en-US"/>
              </w:rPr>
            </w:pPr>
          </w:p>
        </w:tc>
      </w:tr>
      <w:tr w:rsidR="008347DF" w:rsidRPr="002024F5" w14:paraId="577D5BA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B24DA" w14:textId="77777777" w:rsidR="008347DF" w:rsidRPr="002024F5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4" w:name="_heading=h.35nkun2" w:colFirst="0" w:colLast="0"/>
            <w:bookmarkEnd w:id="14"/>
            <w:r>
              <w:rPr>
                <w:noProof/>
              </w:rPr>
              <w:drawing>
                <wp:anchor distT="57150" distB="57150" distL="57150" distR="57150" simplePos="0" relativeHeight="251664384" behindDoc="0" locked="0" layoutInCell="1" hidden="0" allowOverlap="1" wp14:anchorId="32E25AC1" wp14:editId="30C06C3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1192AB" w14:textId="77777777" w:rsidR="008347DF" w:rsidRPr="002024F5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5" w:name="_heading=h.1ksv4uv" w:colFirst="0" w:colLast="0"/>
            <w:bookmarkEnd w:id="15"/>
            <w:r w:rsidRPr="002024F5">
              <w:rPr>
                <w:b/>
                <w:sz w:val="28"/>
                <w:szCs w:val="28"/>
                <w:lang w:val="en-US"/>
              </w:rPr>
              <w:t xml:space="preserve">När börjar täckningen och när slutar den? </w:t>
            </w:r>
          </w:p>
          <w:p w14:paraId="7F346AEE" w14:textId="77777777" w:rsidR="008347DF" w:rsidRPr="002024F5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Garantin träder i kraft den dag medlemmen tar båten i besittning och upphör när den återlämnas.</w:t>
            </w:r>
          </w:p>
          <w:p w14:paraId="18F7313D" w14:textId="77777777" w:rsidR="008347DF" w:rsidRPr="002024F5" w:rsidRDefault="00931082">
            <w:pPr>
              <w:ind w:left="0" w:firstLine="0"/>
              <w:jc w:val="both"/>
              <w:rPr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Garantin har samma varaktighet som båtuthyrningsavtalet men kan sägas upp i förtid i de fall som anges i artikel 7.2. </w:t>
            </w:r>
          </w:p>
          <w:p w14:paraId="5E289F8A" w14:textId="77777777" w:rsidR="008347DF" w:rsidRPr="002024F5" w:rsidRDefault="008347DF">
            <w:pPr>
              <w:rPr>
                <w:lang w:val="en-US"/>
              </w:rPr>
            </w:pPr>
          </w:p>
        </w:tc>
      </w:tr>
      <w:tr w:rsidR="008347DF" w:rsidRPr="002024F5" w14:paraId="1EBB81AA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0749" w14:textId="77777777" w:rsidR="008347DF" w:rsidRPr="002024F5" w:rsidRDefault="00931082">
            <w:pPr>
              <w:keepNext/>
              <w:keepLines/>
              <w:spacing w:after="120"/>
              <w:rPr>
                <w:b/>
                <w:sz w:val="28"/>
                <w:szCs w:val="28"/>
                <w:lang w:val="en-US"/>
              </w:rPr>
            </w:pPr>
            <w:bookmarkStart w:id="16" w:name="_heading=h.44sinio" w:colFirst="0" w:colLast="0"/>
            <w:bookmarkEnd w:id="16"/>
            <w:r>
              <w:rPr>
                <w:noProof/>
              </w:rPr>
              <w:drawing>
                <wp:anchor distT="57150" distB="57150" distL="57150" distR="57150" simplePos="0" relativeHeight="251665408" behindDoc="0" locked="0" layoutInCell="1" hidden="0" allowOverlap="1" wp14:anchorId="6103519D" wp14:editId="575EEE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AB7CFE" w14:textId="77777777" w:rsidR="008347DF" w:rsidRPr="002024F5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7" w:name="_heading=h.2jxsxqh" w:colFirst="0" w:colLast="0"/>
            <w:bookmarkEnd w:id="17"/>
            <w:r w:rsidRPr="002024F5">
              <w:rPr>
                <w:b/>
                <w:sz w:val="28"/>
                <w:szCs w:val="28"/>
                <w:lang w:val="en-US"/>
              </w:rPr>
              <w:t>Hur kan jag säga upp avtalet?</w:t>
            </w:r>
          </w:p>
          <w:p w14:paraId="44E717AE" w14:textId="77777777" w:rsidR="008347DF" w:rsidRPr="002024F5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024F5">
              <w:rPr>
                <w:rFonts w:ascii="Arial" w:eastAsia="Arial" w:hAnsi="Arial" w:cs="Arial"/>
                <w:sz w:val="20"/>
                <w:szCs w:val="20"/>
                <w:lang w:val="en-US"/>
              </w:rPr>
              <w:t>Medlemskapet kan sägas upp hos återförsäljarchefen enligt de villkor som anges i informationsmeddelandet.</w:t>
            </w:r>
          </w:p>
          <w:p w14:paraId="70844E44" w14:textId="77777777" w:rsidR="008347DF" w:rsidRPr="002024F5" w:rsidRDefault="008347DF">
            <w:pPr>
              <w:rPr>
                <w:lang w:val="en-US"/>
              </w:rPr>
            </w:pPr>
          </w:p>
        </w:tc>
      </w:tr>
    </w:tbl>
    <w:p w14:paraId="1A6A0D15" w14:textId="027D297B" w:rsidR="008347DF" w:rsidRPr="002024F5" w:rsidRDefault="008347DF">
      <w:pPr>
        <w:ind w:left="0" w:firstLine="0"/>
        <w:rPr>
          <w:sz w:val="2"/>
          <w:szCs w:val="2"/>
          <w:lang w:val="en-US"/>
        </w:rPr>
      </w:pPr>
    </w:p>
    <w:sectPr w:rsidR="008347DF" w:rsidRPr="002024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53"/>
    <w:multiLevelType w:val="multilevel"/>
    <w:tmpl w:val="25CEC20E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867"/>
    <w:multiLevelType w:val="multilevel"/>
    <w:tmpl w:val="FC08741C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12EA7"/>
    <w:multiLevelType w:val="multilevel"/>
    <w:tmpl w:val="E620EB64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15E69"/>
    <w:multiLevelType w:val="multilevel"/>
    <w:tmpl w:val="50E8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36EDB"/>
    <w:multiLevelType w:val="multilevel"/>
    <w:tmpl w:val="2ED06A7C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366427">
    <w:abstractNumId w:val="4"/>
  </w:num>
  <w:num w:numId="2" w16cid:durableId="923340506">
    <w:abstractNumId w:val="1"/>
  </w:num>
  <w:num w:numId="3" w16cid:durableId="1399673132">
    <w:abstractNumId w:val="3"/>
  </w:num>
  <w:num w:numId="4" w16cid:durableId="181675976">
    <w:abstractNumId w:val="2"/>
  </w:num>
  <w:num w:numId="5" w16cid:durableId="1633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F"/>
    <w:rsid w:val="002024F5"/>
    <w:rsid w:val="008347DF"/>
    <w:rsid w:val="009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29BB"/>
  <w15:docId w15:val="{37889286-F652-7E44-83E7-83E3315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024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J/6JMKxp8M6bFyuleImKKlkEA==">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Ruscon</dc:creator>
  <cp:lastModifiedBy>Camille Grosjean</cp:lastModifiedBy>
  <cp:revision>1</cp:revision>
  <dcterms:created xsi:type="dcterms:W3CDTF">2020-07-28T16:10:00Z</dcterms:created>
  <dcterms:modified xsi:type="dcterms:W3CDTF">2024-03-29T14:32:00Z</dcterms:modified>
</cp:coreProperties>
</file>