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9279" w14:textId="480B1928" w:rsidR="008347DF" w:rsidRDefault="008347DF">
      <w:pPr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</w:p>
    <w:p w14:paraId="50950426" w14:textId="77777777" w:rsidR="008347DF" w:rsidRDefault="008347DF">
      <w:pPr>
        <w:ind w:left="65"/>
        <w:rPr>
          <w:sz w:val="2"/>
          <w:szCs w:val="2"/>
        </w:rPr>
      </w:pPr>
    </w:p>
    <w:tbl>
      <w:tblPr>
        <w:tblStyle w:val="a1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8347DF" w14:paraId="59BBACAF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7FCCF79F" w14:textId="77777777" w:rsidR="008347DF" w:rsidRDefault="00931082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48"/>
                <w:szCs w:val="48"/>
              </w:rPr>
              <w:t xml:space="preserve">Seguro de Resgate de Depósitos </w:t>
            </w:r>
          </w:p>
          <w:p w14:paraId="75449C73" w14:textId="77777777" w:rsidR="008347DF" w:rsidRDefault="00931082">
            <w:pPr>
              <w:pStyle w:val="Sous-titre"/>
            </w:pPr>
            <w:bookmarkStart w:id="1" w:name="_heading=h.30j0zll" w:colFirst="0" w:colLast="0"/>
            <w:bookmarkEnd w:id="1"/>
            <w:r>
              <w:t>Documento de Divulgação de Produtos de Seguros</w:t>
            </w:r>
          </w:p>
          <w:p w14:paraId="6432D432" w14:textId="77777777" w:rsidR="008347DF" w:rsidRDefault="00931082">
            <w:pPr>
              <w:spacing w:before="120" w:line="276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Empresa: Seyna, SA, com um capital de €1.115.800,42, com sede social em 20 bis rue Louis-Philippe, 92200 Neuilly sur Seine, registada no Registo Comercial e Comercial de Nanterre sob o número 843 974 635, uma sociedade regida pelo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Código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Seguros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  <w:p w14:paraId="0D037C13" w14:textId="77777777" w:rsidR="008347DF" w:rsidRDefault="00931082">
            <w:pPr>
              <w:spacing w:line="276" w:lineRule="auto"/>
              <w:ind w:left="0" w:firstLine="0"/>
              <w:rPr>
                <w:color w:val="FFFFFF"/>
              </w:rPr>
            </w:pPr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Produto:</w:t>
            </w:r>
            <w:proofErr w:type="gram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Clique em Resgate de Depósito de Barco</w:t>
            </w:r>
          </w:p>
        </w:tc>
      </w:tr>
      <w:tr w:rsidR="008347DF" w14:paraId="0B1E167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8FDE" w14:textId="77777777" w:rsidR="008347DF" w:rsidRPr="00482282" w:rsidRDefault="00931082">
            <w:pPr>
              <w:spacing w:before="120"/>
              <w:ind w:left="0" w:firstLine="0"/>
              <w:jc w:val="both"/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Este documento de informação é um resumo das principais garantias e exclusões do contrato de seguro n°2sn46 "Resgate de depósitos", cujo folheto informativo completo está disponível a pedido no site da Click&amp;Boat e será enviado por e-mail após a confirmação da sua adesão. </w:t>
            </w: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Não tem em conta as suas necessidades e pedidos específicos.</w:t>
            </w:r>
          </w:p>
          <w:p w14:paraId="1B87E668" w14:textId="77777777" w:rsidR="008347DF" w:rsidRPr="00482282" w:rsidRDefault="008347DF">
            <w:pPr>
              <w:ind w:left="0" w:firstLine="0"/>
              <w:rPr>
                <w:lang w:val="en-US"/>
              </w:rPr>
            </w:pPr>
          </w:p>
          <w:p w14:paraId="479EE472" w14:textId="77777777" w:rsidR="008347DF" w:rsidRDefault="00931082">
            <w:pPr>
              <w:keepNext/>
              <w:keepLines/>
              <w:spacing w:after="120"/>
              <w:ind w:left="0" w:firstLine="0"/>
              <w:rPr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b/>
                <w:sz w:val="28"/>
                <w:szCs w:val="28"/>
              </w:rPr>
              <w:t xml:space="preserve">Que tipo de seguro </w:t>
            </w:r>
            <w:proofErr w:type="gramStart"/>
            <w:r>
              <w:rPr>
                <w:b/>
                <w:sz w:val="28"/>
                <w:szCs w:val="28"/>
              </w:rPr>
              <w:t>é?</w:t>
            </w:r>
            <w:proofErr w:type="gramEnd"/>
          </w:p>
          <w:p w14:paraId="35AEB9E3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Seguro de "Resgate de Depósito" é um contrato de grupo opcional que visa reembolsar parte do depósito tomado como parte da reserva em caso de danos ao barco no final do contrato de aluguer do referido barco.</w:t>
            </w:r>
          </w:p>
        </w:tc>
      </w:tr>
      <w:tr w:rsidR="008347DF" w:rsidRPr="00482282" w14:paraId="019EACDA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2394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7184AC8D" wp14:editId="09DC99D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1AA86" w14:textId="77777777" w:rsidR="008347DF" w:rsidRDefault="00931082">
            <w:pPr>
              <w:keepNext/>
              <w:keepLines/>
              <w:spacing w:after="120"/>
              <w:ind w:left="566" w:right="229" w:firstLine="65"/>
              <w:rPr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b/>
                <w:sz w:val="28"/>
                <w:szCs w:val="28"/>
              </w:rPr>
              <w:t xml:space="preserve"> O que é </w:t>
            </w:r>
            <w:proofErr w:type="gramStart"/>
            <w:r>
              <w:rPr>
                <w:b/>
                <w:sz w:val="28"/>
                <w:szCs w:val="28"/>
              </w:rPr>
              <w:t>segurado?</w:t>
            </w:r>
            <w:proofErr w:type="gramEnd"/>
          </w:p>
          <w:p w14:paraId="28A7B4A4" w14:textId="77777777" w:rsidR="008347DF" w:rsidRDefault="00931082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As garantias precedidas de uma marca de verificação </w:t>
            </w: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6F06368D" wp14:editId="5C67A593">
                  <wp:extent cx="129231" cy="1440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estão sistematicamente previstas no contrato.</w:t>
            </w:r>
          </w:p>
          <w:p w14:paraId="44C9C8E0" w14:textId="77777777" w:rsidR="008347DF" w:rsidRDefault="008347DF">
            <w:pPr>
              <w:ind w:left="0" w:firstLine="0"/>
            </w:pPr>
          </w:p>
          <w:p w14:paraId="0C2C164A" w14:textId="77777777" w:rsidR="008347DF" w:rsidRDefault="00931082">
            <w:pPr>
              <w:numPr>
                <w:ilvl w:val="0"/>
                <w:numId w:val="4"/>
              </w:numPr>
              <w:ind w:left="566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Reembolso de parte do depósito</w:t>
            </w:r>
          </w:p>
          <w:p w14:paraId="125FD15A" w14:textId="77777777" w:rsidR="008347DF" w:rsidRDefault="008347DF">
            <w:pPr>
              <w:ind w:left="0" w:right="229" w:firstLine="0"/>
            </w:pPr>
          </w:p>
          <w:p w14:paraId="00EF3394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Limite e teto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1 (um) sinistro único por período de seguro dentro do </w:t>
            </w:r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limite do valor da caução efetuada no âmbito da reserva, sujeito a dedução de uma franquia de 20% sobre este valor deduzido, com um mínimo de 200 euros com IVA incluído e um máximo de 5.000 euros com IVA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9A6BFC" w14:textId="77777777" w:rsidR="008347DF" w:rsidRDefault="008347DF">
            <w:pPr>
              <w:ind w:left="720" w:right="229" w:firstLine="0"/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DBC" w14:textId="77777777" w:rsidR="008347DF" w:rsidRDefault="00931082">
            <w:pPr>
              <w:keepNext/>
              <w:keepLines/>
              <w:spacing w:after="120"/>
              <w:ind w:left="566" w:firstLine="65"/>
            </w:pPr>
            <w:bookmarkStart w:id="5" w:name="_heading=h.tyjcwt" w:colFirst="0" w:colLast="0"/>
            <w:bookmarkEnd w:id="5"/>
            <w: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0F47D70A" wp14:editId="52115D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08E5A1" w14:textId="77777777" w:rsidR="008347DF" w:rsidRDefault="00931082">
            <w:pPr>
              <w:keepNext/>
              <w:keepLines/>
              <w:spacing w:after="120"/>
              <w:ind w:left="566" w:right="225" w:firstLine="65"/>
              <w:rPr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b/>
                <w:sz w:val="28"/>
                <w:szCs w:val="28"/>
              </w:rPr>
              <w:t xml:space="preserve">O que não é </w:t>
            </w:r>
            <w:proofErr w:type="gramStart"/>
            <w:r>
              <w:rPr>
                <w:b/>
                <w:sz w:val="28"/>
                <w:szCs w:val="28"/>
              </w:rPr>
              <w:t>segurado?</w:t>
            </w:r>
            <w:proofErr w:type="gramEnd"/>
          </w:p>
          <w:p w14:paraId="335E0B09" w14:textId="77777777" w:rsidR="008347DF" w:rsidRDefault="008347DF">
            <w:pPr>
              <w:ind w:left="566" w:right="225"/>
            </w:pPr>
          </w:p>
          <w:p w14:paraId="39DA1EED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Barcos em competição</w:t>
            </w:r>
          </w:p>
          <w:p w14:paraId="7FE14EF3" w14:textId="77777777" w:rsidR="008347DF" w:rsidRPr="00482282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equipamento auxiliar do barco (bip, bote, motor de bote)</w:t>
            </w:r>
          </w:p>
        </w:tc>
      </w:tr>
      <w:tr w:rsidR="008347DF" w14:paraId="5627145B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9E250" w14:textId="77777777" w:rsidR="008347DF" w:rsidRPr="00482282" w:rsidRDefault="008347DF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FCF7" w14:textId="77777777" w:rsidR="008347DF" w:rsidRDefault="00931082">
            <w:pPr>
              <w:keepNext/>
              <w:keepLines/>
              <w:spacing w:after="120"/>
              <w:ind w:left="566" w:right="219" w:firstLine="65"/>
              <w:rPr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 w:rsidRPr="00482282">
              <w:rPr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Existem exclusões à cobertura?</w:t>
            </w:r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7F4CDE8D" wp14:editId="4302D3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34763B" w14:textId="77777777" w:rsidR="008347DF" w:rsidRDefault="00931082">
            <w:pPr>
              <w:ind w:left="566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Principais exclusões</w:t>
            </w:r>
          </w:p>
          <w:p w14:paraId="63A8A1DA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Uso profissional do barco</w:t>
            </w:r>
          </w:p>
          <w:p w14:paraId="57562207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desagregação do barco</w:t>
            </w:r>
          </w:p>
          <w:p w14:paraId="1E644DB9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Roubo de equipamentos e acessórios</w:t>
            </w:r>
          </w:p>
          <w:p w14:paraId="09066A42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Negligência</w:t>
            </w:r>
          </w:p>
        </w:tc>
      </w:tr>
      <w:tr w:rsidR="008347DF" w:rsidRPr="00482282" w14:paraId="37448D4F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D19C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noProof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5E83BCEE" wp14:editId="7EF3DA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2A0C63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b/>
                <w:sz w:val="28"/>
                <w:szCs w:val="28"/>
              </w:rPr>
              <w:t xml:space="preserve">Onde estou </w:t>
            </w:r>
            <w:proofErr w:type="gramStart"/>
            <w:r>
              <w:rPr>
                <w:b/>
                <w:sz w:val="28"/>
                <w:szCs w:val="28"/>
              </w:rPr>
              <w:t>coberto?</w:t>
            </w:r>
            <w:proofErr w:type="gramEnd"/>
          </w:p>
          <w:p w14:paraId="1B2A0D15" w14:textId="77777777" w:rsidR="008347DF" w:rsidRPr="00482282" w:rsidRDefault="00931082">
            <w:pPr>
              <w:numPr>
                <w:ilvl w:val="0"/>
                <w:numId w:val="2"/>
              </w:numPr>
              <w:spacing w:before="120"/>
              <w:ind w:right="62"/>
              <w:jc w:val="both"/>
              <w:rPr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Em todo o mundo. No entanto, o reembolso será feito em euros. A seguradora não paga o contravalor na moeda do país de residência do segurado nem quaisquer encargos bancários cobrados pelo banco do segurado. </w:t>
            </w:r>
          </w:p>
        </w:tc>
      </w:tr>
      <w:tr w:rsidR="008347DF" w14:paraId="5B6B69E7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EFC2" w14:textId="77777777" w:rsidR="008347DF" w:rsidRPr="00482282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  <w:lang w:val="en-US"/>
              </w:rPr>
            </w:pPr>
            <w:bookmarkStart w:id="10" w:name="_heading=h.17dp8vu" w:colFirst="0" w:colLast="0"/>
            <w:bookmarkEnd w:id="10"/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6C0EFA2F" wp14:editId="15A0C9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13BA12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1" w:name="_heading=h.3rdcrjn" w:colFirst="0" w:colLast="0"/>
            <w:bookmarkEnd w:id="11"/>
            <w:r>
              <w:rPr>
                <w:b/>
                <w:sz w:val="28"/>
                <w:szCs w:val="28"/>
              </w:rPr>
              <w:t xml:space="preserve">Quais são as minhas </w:t>
            </w:r>
            <w:proofErr w:type="gramStart"/>
            <w:r>
              <w:rPr>
                <w:b/>
                <w:sz w:val="28"/>
                <w:szCs w:val="28"/>
              </w:rPr>
              <w:t>obrigações?</w:t>
            </w:r>
            <w:proofErr w:type="gramEnd"/>
          </w:p>
          <w:p w14:paraId="59D62126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Ao aderir:</w:t>
            </w:r>
          </w:p>
          <w:p w14:paraId="06C29C21" w14:textId="77777777" w:rsidR="008347DF" w:rsidRPr="00482282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pagar o prémio do seguro.</w:t>
            </w:r>
          </w:p>
          <w:p w14:paraId="72EC51FC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processo de adesão:</w:t>
            </w:r>
          </w:p>
          <w:p w14:paraId="6F1232FF" w14:textId="77777777" w:rsidR="008347DF" w:rsidRPr="00482282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informar o Gestor do Concessionário em caso de alteração das circunstâncias.</w:t>
            </w:r>
          </w:p>
          <w:p w14:paraId="283B439E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caso de sinistro:</w:t>
            </w:r>
          </w:p>
          <w:p w14:paraId="049DDC4B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comunicar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qualquer reclamação dentro dos prazos e em conformidade com os procedimentos previstos no artigo 8.º da nota informativa;</w:t>
            </w:r>
          </w:p>
          <w:p w14:paraId="3718DF32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fornecer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documentos comprovativos solicitados;</w:t>
            </w:r>
          </w:p>
          <w:p w14:paraId="5037529C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Abster-se de reparar o imóvel por conta própria.</w:t>
            </w:r>
          </w:p>
          <w:p w14:paraId="75691584" w14:textId="77777777" w:rsidR="008347DF" w:rsidRDefault="008347DF">
            <w:pPr>
              <w:ind w:left="0" w:right="203" w:firstLine="0"/>
            </w:pPr>
          </w:p>
        </w:tc>
      </w:tr>
      <w:tr w:rsidR="008347DF" w:rsidRPr="00482282" w14:paraId="6830F746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B3FC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5464A06C" wp14:editId="336B352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7A80E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3" w:name="_heading=h.lnxbz9" w:colFirst="0" w:colLast="0"/>
            <w:bookmarkEnd w:id="13"/>
            <w:r>
              <w:rPr>
                <w:b/>
                <w:sz w:val="28"/>
                <w:szCs w:val="28"/>
              </w:rPr>
              <w:t xml:space="preserve">Quando e como fazer </w:t>
            </w:r>
            <w:proofErr w:type="gramStart"/>
            <w:r>
              <w:rPr>
                <w:b/>
                <w:sz w:val="28"/>
                <w:szCs w:val="28"/>
              </w:rPr>
              <w:t>pagamentos?</w:t>
            </w:r>
            <w:proofErr w:type="gramEnd"/>
          </w:p>
          <w:p w14:paraId="24A7154D" w14:textId="77777777" w:rsidR="008347DF" w:rsidRPr="00482282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O prémio do seguro é calculado com base no valor do depósito e no número de dias de aluguer. O valor é indicado no Certificado de Adesão.</w:t>
            </w:r>
          </w:p>
          <w:p w14:paraId="38E8FA53" w14:textId="77777777" w:rsidR="008347DF" w:rsidRPr="00482282" w:rsidRDefault="008347DF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CD80357" w14:textId="77777777" w:rsidR="008347DF" w:rsidRPr="00482282" w:rsidRDefault="00931082">
            <w:pPr>
              <w:ind w:left="0" w:firstLine="0"/>
              <w:jc w:val="both"/>
              <w:rPr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 prémio do seguro é pago na íntegra ao Distribuidor no mesmo dia da assinatura do Contrato. </w:t>
            </w:r>
          </w:p>
          <w:p w14:paraId="6604FB7E" w14:textId="77777777" w:rsidR="008347DF" w:rsidRPr="00482282" w:rsidRDefault="008347DF">
            <w:pPr>
              <w:ind w:left="566" w:hanging="425"/>
              <w:rPr>
                <w:lang w:val="en-US"/>
              </w:rPr>
            </w:pPr>
          </w:p>
        </w:tc>
      </w:tr>
      <w:tr w:rsidR="008347DF" w14:paraId="577D5BA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B24DA" w14:textId="77777777" w:rsidR="008347DF" w:rsidRPr="00482282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4" w:name="_heading=h.35nkun2" w:colFirst="0" w:colLast="0"/>
            <w:bookmarkEnd w:id="14"/>
            <w:r>
              <w:rPr>
                <w:noProof/>
              </w:rPr>
              <w:drawing>
                <wp:anchor distT="57150" distB="57150" distL="57150" distR="57150" simplePos="0" relativeHeight="251664384" behindDoc="0" locked="0" layoutInCell="1" hidden="0" allowOverlap="1" wp14:anchorId="32E25AC1" wp14:editId="30C06C3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1192AB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5" w:name="_heading=h.1ksv4uv" w:colFirst="0" w:colLast="0"/>
            <w:bookmarkEnd w:id="15"/>
            <w:r>
              <w:rPr>
                <w:b/>
                <w:sz w:val="28"/>
                <w:szCs w:val="28"/>
              </w:rPr>
              <w:t xml:space="preserve">Quando começa e quando termina a </w:t>
            </w:r>
            <w:proofErr w:type="gramStart"/>
            <w:r>
              <w:rPr>
                <w:b/>
                <w:sz w:val="28"/>
                <w:szCs w:val="28"/>
              </w:rPr>
              <w:t>cobertura?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7F346AE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Garantia entra em vigor no dia em que o membro toma posse do barco e termina quando este é devolvido.</w:t>
            </w:r>
          </w:p>
          <w:p w14:paraId="18F7313D" w14:textId="77777777" w:rsidR="008347DF" w:rsidRDefault="00931082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Garantia tem a mesma duração que o contrato de aluguer de Barcos, mas pode ser rescindida mais cedo nos casos previstos no Artigo 7.2. </w:t>
            </w:r>
          </w:p>
          <w:p w14:paraId="5E289F8A" w14:textId="77777777" w:rsidR="008347DF" w:rsidRDefault="008347DF"/>
        </w:tc>
      </w:tr>
      <w:tr w:rsidR="008347DF" w:rsidRPr="00482282" w14:paraId="1EBB81AA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0749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16" w:name="_heading=h.44sinio" w:colFirst="0" w:colLast="0"/>
            <w:bookmarkEnd w:id="16"/>
            <w:r>
              <w:rPr>
                <w:noProof/>
              </w:rPr>
              <w:drawing>
                <wp:anchor distT="57150" distB="57150" distL="57150" distR="57150" simplePos="0" relativeHeight="251665408" behindDoc="0" locked="0" layoutInCell="1" hidden="0" allowOverlap="1" wp14:anchorId="6103519D" wp14:editId="575EEE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AB7CFE" w14:textId="77777777" w:rsidR="008347DF" w:rsidRPr="00482282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7" w:name="_heading=h.2jxsxqh" w:colFirst="0" w:colLast="0"/>
            <w:bookmarkEnd w:id="17"/>
            <w:r w:rsidRPr="00482282">
              <w:rPr>
                <w:b/>
                <w:sz w:val="28"/>
                <w:szCs w:val="28"/>
                <w:lang w:val="en-US"/>
              </w:rPr>
              <w:t>Como posso cancelar o contrato?</w:t>
            </w:r>
          </w:p>
          <w:p w14:paraId="44E717AE" w14:textId="77777777" w:rsidR="008347DF" w:rsidRPr="00482282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82282">
              <w:rPr>
                <w:rFonts w:ascii="Arial" w:eastAsia="Arial" w:hAnsi="Arial" w:cs="Arial"/>
                <w:sz w:val="20"/>
                <w:szCs w:val="20"/>
                <w:lang w:val="en-US"/>
              </w:rPr>
              <w:t>A adesão pode ser cancelada com o Gerente do Concessionário sob as condições estabelecidas no Aviso Informativo.</w:t>
            </w:r>
          </w:p>
          <w:p w14:paraId="70844E44" w14:textId="77777777" w:rsidR="008347DF" w:rsidRPr="00482282" w:rsidRDefault="008347DF">
            <w:pPr>
              <w:rPr>
                <w:lang w:val="en-US"/>
              </w:rPr>
            </w:pPr>
          </w:p>
        </w:tc>
      </w:tr>
    </w:tbl>
    <w:p w14:paraId="1A6A0D15" w14:textId="0A24FD03" w:rsidR="008347DF" w:rsidRPr="00482282" w:rsidRDefault="008347DF">
      <w:pPr>
        <w:ind w:left="0" w:firstLine="0"/>
        <w:rPr>
          <w:sz w:val="2"/>
          <w:szCs w:val="2"/>
          <w:lang w:val="en-US"/>
        </w:rPr>
      </w:pPr>
    </w:p>
    <w:sectPr w:rsidR="008347DF" w:rsidRPr="004822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53"/>
    <w:multiLevelType w:val="multilevel"/>
    <w:tmpl w:val="25CEC20E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867"/>
    <w:multiLevelType w:val="multilevel"/>
    <w:tmpl w:val="FC08741C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12EA7"/>
    <w:multiLevelType w:val="multilevel"/>
    <w:tmpl w:val="E620EB64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15E69"/>
    <w:multiLevelType w:val="multilevel"/>
    <w:tmpl w:val="50E8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36EDB"/>
    <w:multiLevelType w:val="multilevel"/>
    <w:tmpl w:val="2ED06A7C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366427">
    <w:abstractNumId w:val="4"/>
  </w:num>
  <w:num w:numId="2" w16cid:durableId="923340506">
    <w:abstractNumId w:val="1"/>
  </w:num>
  <w:num w:numId="3" w16cid:durableId="1399673132">
    <w:abstractNumId w:val="3"/>
  </w:num>
  <w:num w:numId="4" w16cid:durableId="181675976">
    <w:abstractNumId w:val="2"/>
  </w:num>
  <w:num w:numId="5" w16cid:durableId="1633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F"/>
    <w:rsid w:val="00482282"/>
    <w:rsid w:val="008347DF"/>
    <w:rsid w:val="009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29BB"/>
  <w15:docId w15:val="{37889286-F652-7E44-83E7-83E3315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822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J/6JMKxp8M6bFyuleImKKlkEA==">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Ruscon</dc:creator>
  <cp:lastModifiedBy>Camille Grosjean</cp:lastModifiedBy>
  <cp:revision>1</cp:revision>
  <dcterms:created xsi:type="dcterms:W3CDTF">2020-07-28T16:10:00Z</dcterms:created>
  <dcterms:modified xsi:type="dcterms:W3CDTF">2024-03-29T14:33:00Z</dcterms:modified>
</cp:coreProperties>
</file>