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9279" w14:textId="3F48C460" w:rsidR="008347DF" w:rsidRDefault="008347DF">
      <w:pPr>
        <w:spacing w:line="276" w:lineRule="auto"/>
        <w:ind w:left="0" w:firstLine="0"/>
        <w:jc w:val="both"/>
        <w:rPr>
          <w:rFonts w:ascii="Arial" w:eastAsia="Arial" w:hAnsi="Arial" w:cs="Arial"/>
          <w:b/>
        </w:rPr>
      </w:pPr>
    </w:p>
    <w:p w14:paraId="50950426" w14:textId="77777777" w:rsidR="008347DF" w:rsidRDefault="008347DF">
      <w:pPr>
        <w:ind w:left="65"/>
        <w:rPr>
          <w:sz w:val="2"/>
          <w:szCs w:val="2"/>
        </w:rPr>
      </w:pPr>
    </w:p>
    <w:tbl>
      <w:tblPr>
        <w:tblStyle w:val="a1"/>
        <w:tblW w:w="10305" w:type="dxa"/>
        <w:jc w:val="center"/>
        <w:tblInd w:w="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600" w:firstRow="0" w:lastRow="0" w:firstColumn="0" w:lastColumn="0" w:noHBand="1" w:noVBand="1"/>
      </w:tblPr>
      <w:tblGrid>
        <w:gridCol w:w="5370"/>
        <w:gridCol w:w="4935"/>
      </w:tblGrid>
      <w:tr w:rsidR="008347DF" w14:paraId="59BBACAF" w14:textId="77777777">
        <w:trPr>
          <w:trHeight w:val="1740"/>
          <w:jc w:val="center"/>
        </w:trPr>
        <w:tc>
          <w:tcPr>
            <w:tcW w:w="10305" w:type="dxa"/>
            <w:gridSpan w:val="2"/>
            <w:tcBorders>
              <w:right w:val="nil"/>
            </w:tcBorders>
            <w:shd w:val="clear" w:color="auto" w:fill="3D85C6"/>
            <w:tcMar>
              <w:top w:w="181" w:type="dxa"/>
              <w:left w:w="181" w:type="dxa"/>
              <w:bottom w:w="181" w:type="dxa"/>
              <w:right w:w="181" w:type="dxa"/>
            </w:tcMar>
          </w:tcPr>
          <w:p w14:paraId="7FCCF79F" w14:textId="77777777" w:rsidR="008347DF" w:rsidRDefault="00931082">
            <w:pPr>
              <w:keepNext/>
              <w:keepLines/>
              <w:spacing w:after="60" w:line="276" w:lineRule="auto"/>
              <w:rPr>
                <w:b/>
                <w:color w:val="FFFFFF"/>
                <w:sz w:val="48"/>
                <w:szCs w:val="48"/>
              </w:rPr>
            </w:pPr>
            <w:bookmarkStart w:id="0" w:name="_heading=h.gjdgxs" w:colFirst="0" w:colLast="0"/>
            <w:bookmarkEnd w:id="0"/>
            <w:r>
              <w:rPr>
                <w:b/>
                <w:color w:val="FFFFFF"/>
                <w:sz w:val="48"/>
                <w:szCs w:val="48"/>
              </w:rPr>
              <w:t xml:space="preserve">Ασφάλιση Εξαργύρωσης Καταθέσεων </w:t>
            </w:r>
          </w:p>
          <w:p w14:paraId="75449C73" w14:textId="77777777" w:rsidR="008347DF" w:rsidRDefault="00931082">
            <w:pPr>
              <w:pStyle w:val="Sous-titre"/>
            </w:pPr>
            <w:bookmarkStart w:id="1" w:name="_heading=h.30j0zll" w:colFirst="0" w:colLast="0"/>
            <w:bookmarkEnd w:id="1"/>
            <w:r>
              <w:t>Έγγραφο Γνωστοποίησης Ασφαλιστικού Προϊόντος</w:t>
            </w:r>
          </w:p>
          <w:p w14:paraId="6432D432" w14:textId="77777777" w:rsidR="008347DF" w:rsidRDefault="00931082">
            <w:pPr>
              <w:spacing w:before="120" w:line="276" w:lineRule="auto"/>
              <w:ind w:left="0" w:firstLine="0"/>
              <w:jc w:val="both"/>
              <w:rPr>
                <w:rFonts w:ascii="Arial" w:eastAsia="Arial" w:hAnsi="Arial" w:cs="Arial"/>
                <w:color w:val="FFFFFF"/>
                <w:sz w:val="20"/>
                <w:szCs w:val="20"/>
              </w:rPr>
            </w:pPr>
            <w:r>
              <w:rPr>
                <w:rFonts w:ascii="Arial" w:eastAsia="Arial" w:hAnsi="Arial" w:cs="Arial"/>
                <w:color w:val="FFFFFF"/>
                <w:sz w:val="20"/>
                <w:szCs w:val="20"/>
              </w:rPr>
              <w:t xml:space="preserve">Εταιρεία: Seyna, SA με κεφάλαιο 1.115.800,42 ευρώ, με έδρα στη διεύθυνση 20 bis rue Louis-Philippe, 92200 Neuilly sur Seine, εγγεγραμμένη στο μητρώο εμπορίου και εταιρειών της Nanterre με αριθμό 843 974 635, εταιρεία που διέπεται από </w:t>
            </w:r>
            <w:proofErr w:type="spellStart"/>
            <w:r>
              <w:rPr>
                <w:rFonts w:ascii="Arial" w:eastAsia="Arial" w:hAnsi="Arial" w:cs="Arial"/>
                <w:color w:val="FFFFFF"/>
                <w:sz w:val="20"/>
                <w:szCs w:val="20"/>
              </w:rPr>
              <w:t>τον</w:t>
            </w:r>
            <w:proofErr w:type="spellEnd"/>
            <w:r>
              <w:rPr>
                <w:rFonts w:ascii="Arial" w:eastAsia="Arial" w:hAnsi="Arial" w:cs="Arial"/>
                <w:color w:val="FFFFFF"/>
                <w:sz w:val="20"/>
                <w:szCs w:val="20"/>
              </w:rPr>
              <w:t xml:space="preserve"> α</w:t>
            </w:r>
            <w:proofErr w:type="spellStart"/>
            <w:r>
              <w:rPr>
                <w:rFonts w:ascii="Arial" w:eastAsia="Arial" w:hAnsi="Arial" w:cs="Arial"/>
                <w:color w:val="FFFFFF"/>
                <w:sz w:val="20"/>
                <w:szCs w:val="20"/>
              </w:rPr>
              <w:t>σφ</w:t>
            </w:r>
            <w:proofErr w:type="spellEnd"/>
            <w:r>
              <w:rPr>
                <w:rFonts w:ascii="Arial" w:eastAsia="Arial" w:hAnsi="Arial" w:cs="Arial"/>
                <w:color w:val="FFFFFF"/>
                <w:sz w:val="20"/>
                <w:szCs w:val="20"/>
              </w:rPr>
              <w:t>α</w:t>
            </w:r>
            <w:proofErr w:type="spellStart"/>
            <w:r>
              <w:rPr>
                <w:rFonts w:ascii="Arial" w:eastAsia="Arial" w:hAnsi="Arial" w:cs="Arial"/>
                <w:color w:val="FFFFFF"/>
                <w:sz w:val="20"/>
                <w:szCs w:val="20"/>
              </w:rPr>
              <w:t>λιστικό</w:t>
            </w:r>
            <w:proofErr w:type="spellEnd"/>
            <w:r>
              <w:rPr>
                <w:rFonts w:ascii="Arial" w:eastAsia="Arial" w:hAnsi="Arial" w:cs="Arial"/>
                <w:color w:val="FFFFFF"/>
                <w:sz w:val="20"/>
                <w:szCs w:val="20"/>
              </w:rPr>
              <w:t xml:space="preserve"> </w:t>
            </w:r>
            <w:proofErr w:type="spellStart"/>
            <w:r>
              <w:rPr>
                <w:rFonts w:ascii="Arial" w:eastAsia="Arial" w:hAnsi="Arial" w:cs="Arial"/>
                <w:color w:val="FFFFFF"/>
                <w:sz w:val="20"/>
                <w:szCs w:val="20"/>
              </w:rPr>
              <w:t>κώδικ</w:t>
            </w:r>
            <w:proofErr w:type="spellEnd"/>
            <w:r>
              <w:rPr>
                <w:rFonts w:ascii="Arial" w:eastAsia="Arial" w:hAnsi="Arial" w:cs="Arial"/>
                <w:color w:val="FFFFFF"/>
                <w:sz w:val="20"/>
                <w:szCs w:val="20"/>
              </w:rPr>
              <w:t>α.</w:t>
            </w:r>
          </w:p>
          <w:p w14:paraId="0D037C13" w14:textId="77777777" w:rsidR="008347DF" w:rsidRDefault="00931082">
            <w:pPr>
              <w:spacing w:line="276" w:lineRule="auto"/>
              <w:ind w:left="0" w:firstLine="0"/>
              <w:rPr>
                <w:color w:val="FFFFFF"/>
              </w:rPr>
            </w:pPr>
            <w:proofErr w:type="gramStart"/>
            <w:r>
              <w:rPr>
                <w:rFonts w:ascii="Arial" w:eastAsia="Arial" w:hAnsi="Arial" w:cs="Arial"/>
                <w:color w:val="FFFFFF"/>
                <w:sz w:val="20"/>
                <w:szCs w:val="20"/>
              </w:rPr>
              <w:t>Προϊόν:</w:t>
            </w:r>
            <w:proofErr w:type="gramEnd"/>
            <w:r>
              <w:rPr>
                <w:rFonts w:ascii="Arial" w:eastAsia="Arial" w:hAnsi="Arial" w:cs="Arial"/>
                <w:color w:val="FFFFFF"/>
                <w:sz w:val="20"/>
                <w:szCs w:val="20"/>
              </w:rPr>
              <w:t xml:space="preserve"> Click &amp;; Boat Εξαργύρωση Κατάθεσης</w:t>
            </w:r>
          </w:p>
        </w:tc>
      </w:tr>
      <w:tr w:rsidR="008347DF" w14:paraId="0B1E1674" w14:textId="77777777">
        <w:trPr>
          <w:trHeight w:val="460"/>
          <w:jc w:val="center"/>
        </w:trPr>
        <w:tc>
          <w:tcPr>
            <w:tcW w:w="10305" w:type="dxa"/>
            <w:gridSpan w:val="2"/>
            <w:tcBorders>
              <w:right w:val="nil"/>
            </w:tcBorders>
            <w:tcMar>
              <w:top w:w="90" w:type="dxa"/>
              <w:left w:w="90" w:type="dxa"/>
              <w:bottom w:w="90" w:type="dxa"/>
              <w:right w:w="90" w:type="dxa"/>
            </w:tcMar>
          </w:tcPr>
          <w:p w14:paraId="0FDC8FDE" w14:textId="77777777" w:rsidR="008347DF" w:rsidRDefault="00931082">
            <w:pPr>
              <w:spacing w:before="120"/>
              <w:ind w:left="0" w:firstLine="0"/>
              <w:jc w:val="both"/>
            </w:pPr>
            <w:r>
              <w:rPr>
                <w:rFonts w:ascii="Arial" w:eastAsia="Arial" w:hAnsi="Arial" w:cs="Arial"/>
                <w:sz w:val="20"/>
                <w:szCs w:val="20"/>
              </w:rPr>
              <w:t>Αυτό το ενημερωτικό έγγραφο είναι μια σύνοψη των κύριων εγγυήσεων και εξαιρέσεων του ασφαλιστηρίου συμβολαίου n°2sn46 "Εξαργύρωση κατάθεσης", το πλήρες ενημερωτικό φυλλάδιο του οποίου είναι διαθέσιμο κατόπιν αιτήματος στην ιστοσελίδα της Click&amp;Boat και θα σας αποσταλεί μέσω email μετά την επιβεβαίωση της συμμετοχής σας. Δεν λαμβάνει υπόψη τις συγκεκριμένες ανάγκες και τα αιτήματά σας.</w:t>
            </w:r>
          </w:p>
          <w:p w14:paraId="1B87E668" w14:textId="77777777" w:rsidR="008347DF" w:rsidRDefault="008347DF">
            <w:pPr>
              <w:ind w:left="0" w:firstLine="0"/>
            </w:pPr>
          </w:p>
          <w:p w14:paraId="479EE472" w14:textId="77777777" w:rsidR="008347DF" w:rsidRDefault="00931082">
            <w:pPr>
              <w:keepNext/>
              <w:keepLines/>
              <w:spacing w:after="120"/>
              <w:ind w:left="0" w:firstLine="0"/>
              <w:rPr>
                <w:b/>
                <w:sz w:val="28"/>
                <w:szCs w:val="28"/>
              </w:rPr>
            </w:pPr>
            <w:bookmarkStart w:id="2" w:name="_heading=h.1fob9te" w:colFirst="0" w:colLast="0"/>
            <w:bookmarkEnd w:id="2"/>
            <w:r>
              <w:rPr>
                <w:b/>
                <w:sz w:val="28"/>
                <w:szCs w:val="28"/>
              </w:rPr>
              <w:t xml:space="preserve">Τι είδους ασφάλιση </w:t>
            </w:r>
            <w:proofErr w:type="gramStart"/>
            <w:r>
              <w:rPr>
                <w:b/>
                <w:sz w:val="28"/>
                <w:szCs w:val="28"/>
              </w:rPr>
              <w:t>είναι;</w:t>
            </w:r>
            <w:proofErr w:type="gramEnd"/>
          </w:p>
          <w:p w14:paraId="35AEB9E3" w14:textId="77777777" w:rsidR="008347DF" w:rsidRDefault="00931082">
            <w:pPr>
              <w:ind w:left="0" w:firstLine="0"/>
              <w:jc w:val="both"/>
              <w:rPr>
                <w:rFonts w:ascii="Arial" w:eastAsia="Arial" w:hAnsi="Arial" w:cs="Arial"/>
                <w:sz w:val="20"/>
                <w:szCs w:val="20"/>
              </w:rPr>
            </w:pPr>
            <w:r>
              <w:rPr>
                <w:rFonts w:ascii="Arial" w:eastAsia="Arial" w:hAnsi="Arial" w:cs="Arial"/>
                <w:sz w:val="20"/>
                <w:szCs w:val="20"/>
              </w:rPr>
              <w:t>Η Ασφάλιση "Εξαργύρωσης Προκαταβολής" είναι ένα προαιρετικό ομαδικό συμβόλαιο που στοχεύει στην επιστροφή μέρους της προκαταβολής που ελήφθη ως μέρος της κράτησης σε περίπτωση ζημιάς στο σκάφος στο τέλος του συμβολαίου ενοικίασης του εν λόγω σκάφους.</w:t>
            </w:r>
          </w:p>
        </w:tc>
      </w:tr>
      <w:tr w:rsidR="008347DF" w14:paraId="019EACDA" w14:textId="77777777">
        <w:trPr>
          <w:trHeight w:val="460"/>
          <w:jc w:val="center"/>
        </w:trPr>
        <w:tc>
          <w:tcPr>
            <w:tcW w:w="5370" w:type="dxa"/>
            <w:vMerge w:val="restart"/>
            <w:tcBorders>
              <w:left w:val="nil"/>
            </w:tcBorders>
            <w:shd w:val="clear" w:color="auto" w:fill="EFEFEF"/>
            <w:tcMar>
              <w:top w:w="90" w:type="dxa"/>
              <w:left w:w="90" w:type="dxa"/>
              <w:bottom w:w="90" w:type="dxa"/>
              <w:right w:w="90" w:type="dxa"/>
            </w:tcMar>
          </w:tcPr>
          <w:p w14:paraId="1C502394" w14:textId="77777777" w:rsidR="008347DF" w:rsidRDefault="00931082">
            <w:pPr>
              <w:keepNext/>
              <w:keepLines/>
              <w:spacing w:after="120"/>
              <w:rPr>
                <w:b/>
                <w:sz w:val="28"/>
                <w:szCs w:val="28"/>
              </w:rPr>
            </w:pPr>
            <w:bookmarkStart w:id="3" w:name="_heading=h.3znysh7" w:colFirst="0" w:colLast="0"/>
            <w:bookmarkEnd w:id="3"/>
            <w:r>
              <w:rPr>
                <w:b/>
                <w:sz w:val="28"/>
                <w:szCs w:val="28"/>
              </w:rPr>
              <w:t xml:space="preserve"> </w:t>
            </w:r>
            <w:r>
              <w:rPr>
                <w:noProof/>
              </w:rPr>
              <w:drawing>
                <wp:anchor distT="57150" distB="57150" distL="57150" distR="57150" simplePos="0" relativeHeight="251658240" behindDoc="0" locked="0" layoutInCell="1" hidden="0" allowOverlap="1" wp14:anchorId="7184AC8D" wp14:editId="09DC99D5">
                  <wp:simplePos x="0" y="0"/>
                  <wp:positionH relativeFrom="column">
                    <wp:posOffset>76200</wp:posOffset>
                  </wp:positionH>
                  <wp:positionV relativeFrom="paragraph">
                    <wp:posOffset>57150</wp:posOffset>
                  </wp:positionV>
                  <wp:extent cx="391372" cy="409575"/>
                  <wp:effectExtent l="0" t="0" r="0" b="0"/>
                  <wp:wrapSquare wrapText="bothSides" distT="57150" distB="57150" distL="57150" distR="5715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91372" cy="409575"/>
                          </a:xfrm>
                          <a:prstGeom prst="rect">
                            <a:avLst/>
                          </a:prstGeom>
                          <a:ln/>
                        </pic:spPr>
                      </pic:pic>
                    </a:graphicData>
                  </a:graphic>
                </wp:anchor>
              </w:drawing>
            </w:r>
          </w:p>
          <w:p w14:paraId="4971AA86" w14:textId="77777777" w:rsidR="008347DF" w:rsidRDefault="00931082">
            <w:pPr>
              <w:keepNext/>
              <w:keepLines/>
              <w:spacing w:after="120"/>
              <w:ind w:left="566" w:right="229" w:firstLine="65"/>
              <w:rPr>
                <w:b/>
                <w:sz w:val="28"/>
                <w:szCs w:val="28"/>
              </w:rPr>
            </w:pPr>
            <w:bookmarkStart w:id="4" w:name="_heading=h.2et92p0" w:colFirst="0" w:colLast="0"/>
            <w:bookmarkEnd w:id="4"/>
            <w:r>
              <w:rPr>
                <w:b/>
                <w:sz w:val="28"/>
                <w:szCs w:val="28"/>
              </w:rPr>
              <w:t xml:space="preserve"> Τι είναι </w:t>
            </w:r>
            <w:proofErr w:type="gramStart"/>
            <w:r>
              <w:rPr>
                <w:b/>
                <w:sz w:val="28"/>
                <w:szCs w:val="28"/>
              </w:rPr>
              <w:t>ασφαλισμένο;</w:t>
            </w:r>
            <w:proofErr w:type="gramEnd"/>
          </w:p>
          <w:p w14:paraId="28A7B4A4" w14:textId="77777777" w:rsidR="008347DF" w:rsidRDefault="00931082">
            <w:pPr>
              <w:spacing w:before="120"/>
              <w:ind w:left="0" w:right="149" w:firstLine="0"/>
              <w:jc w:val="both"/>
              <w:rPr>
                <w:rFonts w:ascii="Arial" w:eastAsia="Arial" w:hAnsi="Arial" w:cs="Arial"/>
                <w:i/>
                <w:sz w:val="20"/>
                <w:szCs w:val="20"/>
              </w:rPr>
            </w:pPr>
            <w:r>
              <w:rPr>
                <w:rFonts w:ascii="Arial" w:eastAsia="Arial" w:hAnsi="Arial" w:cs="Arial"/>
                <w:i/>
                <w:sz w:val="20"/>
                <w:szCs w:val="20"/>
              </w:rPr>
              <w:t xml:space="preserve">Οι εγγυήσεις των οποίων προηγείται ένα σημάδι υποδιαίρεσης </w:t>
            </w:r>
            <w:r>
              <w:rPr>
                <w:rFonts w:ascii="Arial" w:eastAsia="Arial" w:hAnsi="Arial" w:cs="Arial"/>
                <w:i/>
                <w:noProof/>
                <w:sz w:val="20"/>
                <w:szCs w:val="20"/>
              </w:rPr>
              <w:drawing>
                <wp:inline distT="0" distB="0" distL="0" distR="0" wp14:anchorId="6F06368D" wp14:editId="5C67A593">
                  <wp:extent cx="129231" cy="14400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29231" cy="144000"/>
                          </a:xfrm>
                          <a:prstGeom prst="rect">
                            <a:avLst/>
                          </a:prstGeom>
                          <a:ln/>
                        </pic:spPr>
                      </pic:pic>
                    </a:graphicData>
                  </a:graphic>
                </wp:inline>
              </w:drawing>
            </w:r>
            <w:r>
              <w:rPr>
                <w:rFonts w:ascii="Arial" w:eastAsia="Arial" w:hAnsi="Arial" w:cs="Arial"/>
                <w:i/>
                <w:sz w:val="20"/>
                <w:szCs w:val="20"/>
              </w:rPr>
              <w:t xml:space="preserve"> προβλέπονται συστηματικά στη σύμβαση.</w:t>
            </w:r>
          </w:p>
          <w:p w14:paraId="44C9C8E0" w14:textId="77777777" w:rsidR="008347DF" w:rsidRDefault="008347DF">
            <w:pPr>
              <w:ind w:left="0" w:firstLine="0"/>
            </w:pPr>
          </w:p>
          <w:p w14:paraId="0C2C164A" w14:textId="77777777" w:rsidR="008347DF" w:rsidRDefault="00931082">
            <w:pPr>
              <w:numPr>
                <w:ilvl w:val="0"/>
                <w:numId w:val="4"/>
              </w:numPr>
              <w:ind w:left="566" w:right="229"/>
              <w:rPr>
                <w:rFonts w:ascii="Arial" w:eastAsia="Arial" w:hAnsi="Arial" w:cs="Arial"/>
                <w:sz w:val="20"/>
                <w:szCs w:val="20"/>
              </w:rPr>
            </w:pPr>
            <w:r>
              <w:rPr>
                <w:rFonts w:ascii="Arial" w:eastAsia="Arial" w:hAnsi="Arial" w:cs="Arial"/>
                <w:sz w:val="20"/>
                <w:szCs w:val="20"/>
              </w:rPr>
              <w:t>Επιστροφή μέρους της προκαταβολής</w:t>
            </w:r>
          </w:p>
          <w:p w14:paraId="125FD15A" w14:textId="77777777" w:rsidR="008347DF" w:rsidRDefault="008347DF">
            <w:pPr>
              <w:ind w:left="0" w:right="229" w:firstLine="0"/>
            </w:pPr>
          </w:p>
          <w:p w14:paraId="00EF3394" w14:textId="77777777" w:rsidR="008347DF" w:rsidRDefault="00931082">
            <w:pPr>
              <w:ind w:left="0" w:firstLine="0"/>
              <w:jc w:val="both"/>
              <w:rPr>
                <w:rFonts w:ascii="Arial" w:eastAsia="Arial" w:hAnsi="Arial" w:cs="Arial"/>
                <w:sz w:val="20"/>
                <w:szCs w:val="20"/>
              </w:rPr>
            </w:pPr>
            <w:r>
              <w:rPr>
                <w:rFonts w:ascii="Arial" w:eastAsia="Arial" w:hAnsi="Arial" w:cs="Arial"/>
                <w:b/>
                <w:sz w:val="20"/>
                <w:szCs w:val="20"/>
                <w:u w:val="single"/>
              </w:rPr>
              <w:t>Όριο και ανώτατο όριο</w:t>
            </w:r>
            <w:r>
              <w:rPr>
                <w:rFonts w:ascii="Arial" w:eastAsia="Arial" w:hAnsi="Arial" w:cs="Arial"/>
                <w:sz w:val="20"/>
                <w:szCs w:val="20"/>
              </w:rPr>
              <w:t xml:space="preserve"> : 1 (μία) Εφάπαξ απαίτηση ανά περίοδο ασφάλισης εντός </w:t>
            </w:r>
            <w:r>
              <w:rPr>
                <w:rFonts w:ascii="Arial" w:eastAsia="Arial" w:hAnsi="Arial" w:cs="Arial"/>
                <w:color w:val="1A2226"/>
                <w:sz w:val="20"/>
                <w:szCs w:val="20"/>
              </w:rPr>
              <w:t>του ορίου του ποσού της προκαταβολής που λαμβάνεται ως μέρος της κράτησης, με την επιφύλαξη έκπτωσης 20% επί του ποσού αυτού που εκπίπτει, με ελάχιστο ποσό τα 200 ευρώ συμπεριλαμβανομένου του ΦΠΑ και μέγιστο ποσό τα 5.000 ευρώ συμπεριλαμβανομένου του ΦΠΑ</w:t>
            </w:r>
            <w:r>
              <w:rPr>
                <w:rFonts w:ascii="Arial" w:eastAsia="Arial" w:hAnsi="Arial" w:cs="Arial"/>
                <w:sz w:val="20"/>
                <w:szCs w:val="20"/>
              </w:rPr>
              <w:t>.</w:t>
            </w:r>
          </w:p>
          <w:p w14:paraId="739A6BFC" w14:textId="77777777" w:rsidR="008347DF" w:rsidRDefault="008347DF">
            <w:pPr>
              <w:ind w:left="720" w:right="229" w:firstLine="0"/>
            </w:pPr>
          </w:p>
        </w:tc>
        <w:tc>
          <w:tcPr>
            <w:tcW w:w="4935" w:type="dxa"/>
            <w:shd w:val="clear" w:color="auto" w:fill="EFEFEF"/>
            <w:tcMar>
              <w:top w:w="90" w:type="dxa"/>
              <w:left w:w="90" w:type="dxa"/>
              <w:bottom w:w="90" w:type="dxa"/>
              <w:right w:w="90" w:type="dxa"/>
            </w:tcMar>
          </w:tcPr>
          <w:p w14:paraId="062D9DBC" w14:textId="77777777" w:rsidR="008347DF" w:rsidRDefault="00931082">
            <w:pPr>
              <w:keepNext/>
              <w:keepLines/>
              <w:spacing w:after="120"/>
              <w:ind w:left="566" w:firstLine="65"/>
            </w:pPr>
            <w:bookmarkStart w:id="5" w:name="_heading=h.tyjcwt" w:colFirst="0" w:colLast="0"/>
            <w:bookmarkEnd w:id="5"/>
            <w:r>
              <w:t xml:space="preserve"> </w:t>
            </w:r>
            <w:r>
              <w:rPr>
                <w:noProof/>
              </w:rPr>
              <w:drawing>
                <wp:anchor distT="57150" distB="57150" distL="57150" distR="57150" simplePos="0" relativeHeight="251659264" behindDoc="0" locked="0" layoutInCell="1" hidden="0" allowOverlap="1" wp14:anchorId="0F47D70A" wp14:editId="52115DEB">
                  <wp:simplePos x="0" y="0"/>
                  <wp:positionH relativeFrom="column">
                    <wp:posOffset>95250</wp:posOffset>
                  </wp:positionH>
                  <wp:positionV relativeFrom="paragraph">
                    <wp:posOffset>66675</wp:posOffset>
                  </wp:positionV>
                  <wp:extent cx="377904" cy="394335"/>
                  <wp:effectExtent l="0" t="0" r="0" b="0"/>
                  <wp:wrapSquare wrapText="bothSides" distT="57150" distB="57150" distL="57150" distR="5715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77904" cy="394335"/>
                          </a:xfrm>
                          <a:prstGeom prst="rect">
                            <a:avLst/>
                          </a:prstGeom>
                          <a:ln/>
                        </pic:spPr>
                      </pic:pic>
                    </a:graphicData>
                  </a:graphic>
                </wp:anchor>
              </w:drawing>
            </w:r>
          </w:p>
          <w:p w14:paraId="1F08E5A1" w14:textId="77777777" w:rsidR="008347DF" w:rsidRDefault="00931082">
            <w:pPr>
              <w:keepNext/>
              <w:keepLines/>
              <w:spacing w:after="120"/>
              <w:ind w:left="566" w:right="225" w:firstLine="65"/>
              <w:rPr>
                <w:b/>
                <w:sz w:val="28"/>
                <w:szCs w:val="28"/>
              </w:rPr>
            </w:pPr>
            <w:bookmarkStart w:id="6" w:name="_heading=h.3dy6vkm" w:colFirst="0" w:colLast="0"/>
            <w:bookmarkEnd w:id="6"/>
            <w:r>
              <w:rPr>
                <w:b/>
                <w:sz w:val="28"/>
                <w:szCs w:val="28"/>
              </w:rPr>
              <w:t xml:space="preserve">Τι δεν είναι </w:t>
            </w:r>
            <w:proofErr w:type="gramStart"/>
            <w:r>
              <w:rPr>
                <w:b/>
                <w:sz w:val="28"/>
                <w:szCs w:val="28"/>
              </w:rPr>
              <w:t>ασφαλισμένο;</w:t>
            </w:r>
            <w:proofErr w:type="gramEnd"/>
          </w:p>
          <w:p w14:paraId="335E0B09" w14:textId="77777777" w:rsidR="008347DF" w:rsidRDefault="008347DF">
            <w:pPr>
              <w:ind w:left="566" w:right="225"/>
            </w:pPr>
          </w:p>
          <w:p w14:paraId="39DA1EED" w14:textId="77777777" w:rsidR="008347DF" w:rsidRDefault="00931082">
            <w:pPr>
              <w:numPr>
                <w:ilvl w:val="0"/>
                <w:numId w:val="1"/>
              </w:numPr>
              <w:ind w:left="566" w:right="225"/>
              <w:rPr>
                <w:rFonts w:ascii="Arial" w:eastAsia="Arial" w:hAnsi="Arial" w:cs="Arial"/>
                <w:sz w:val="20"/>
                <w:szCs w:val="20"/>
              </w:rPr>
            </w:pPr>
            <w:r>
              <w:rPr>
                <w:rFonts w:ascii="Arial" w:eastAsia="Arial" w:hAnsi="Arial" w:cs="Arial"/>
                <w:sz w:val="20"/>
                <w:szCs w:val="20"/>
              </w:rPr>
              <w:t>Σκάφη σε ανταγωνισμό</w:t>
            </w:r>
          </w:p>
          <w:p w14:paraId="7FE14EF3" w14:textId="77777777" w:rsidR="008347DF" w:rsidRDefault="00931082">
            <w:pPr>
              <w:numPr>
                <w:ilvl w:val="0"/>
                <w:numId w:val="1"/>
              </w:numPr>
              <w:ind w:left="566" w:right="225"/>
              <w:rPr>
                <w:rFonts w:ascii="Arial" w:eastAsia="Arial" w:hAnsi="Arial" w:cs="Arial"/>
                <w:sz w:val="20"/>
                <w:szCs w:val="20"/>
              </w:rPr>
            </w:pPr>
            <w:proofErr w:type="gramStart"/>
            <w:r>
              <w:rPr>
                <w:rFonts w:ascii="Arial" w:eastAsia="Arial" w:hAnsi="Arial" w:cs="Arial"/>
                <w:sz w:val="20"/>
                <w:szCs w:val="20"/>
              </w:rPr>
              <w:t>τον</w:t>
            </w:r>
            <w:proofErr w:type="gramEnd"/>
            <w:r>
              <w:rPr>
                <w:rFonts w:ascii="Arial" w:eastAsia="Arial" w:hAnsi="Arial" w:cs="Arial"/>
                <w:sz w:val="20"/>
                <w:szCs w:val="20"/>
              </w:rPr>
              <w:t xml:space="preserve"> βοηθητικό εξοπλισμό του σκάφους (μπιπ, λέμβος, μηχανή λέμβου)</w:t>
            </w:r>
          </w:p>
        </w:tc>
      </w:tr>
      <w:tr w:rsidR="008347DF" w14:paraId="5627145B" w14:textId="77777777">
        <w:trPr>
          <w:trHeight w:val="420"/>
          <w:jc w:val="center"/>
        </w:trPr>
        <w:tc>
          <w:tcPr>
            <w:tcW w:w="5370" w:type="dxa"/>
            <w:vMerge/>
            <w:tcBorders>
              <w:left w:val="nil"/>
            </w:tcBorders>
            <w:shd w:val="clear" w:color="auto" w:fill="EFEFEF"/>
            <w:tcMar>
              <w:top w:w="90" w:type="dxa"/>
              <w:left w:w="90" w:type="dxa"/>
              <w:bottom w:w="90" w:type="dxa"/>
              <w:right w:w="90" w:type="dxa"/>
            </w:tcMar>
          </w:tcPr>
          <w:p w14:paraId="3F59E250" w14:textId="77777777" w:rsidR="008347DF" w:rsidRDefault="008347DF">
            <w:pPr>
              <w:widowControl w:val="0"/>
              <w:spacing w:line="276" w:lineRule="auto"/>
              <w:ind w:left="0" w:firstLine="0"/>
              <w:rPr>
                <w:rFonts w:ascii="Arial" w:eastAsia="Arial" w:hAnsi="Arial" w:cs="Arial"/>
                <w:sz w:val="20"/>
                <w:szCs w:val="20"/>
              </w:rPr>
            </w:pPr>
          </w:p>
        </w:tc>
        <w:tc>
          <w:tcPr>
            <w:tcW w:w="4935" w:type="dxa"/>
            <w:shd w:val="clear" w:color="auto" w:fill="EFEFEF"/>
            <w:tcMar>
              <w:top w:w="90" w:type="dxa"/>
              <w:left w:w="90" w:type="dxa"/>
              <w:bottom w:w="90" w:type="dxa"/>
              <w:right w:w="90" w:type="dxa"/>
            </w:tcMar>
          </w:tcPr>
          <w:p w14:paraId="764BFCF7" w14:textId="77777777" w:rsidR="008347DF" w:rsidRDefault="00931082">
            <w:pPr>
              <w:keepNext/>
              <w:keepLines/>
              <w:spacing w:after="120"/>
              <w:ind w:left="566" w:right="219" w:firstLine="65"/>
              <w:rPr>
                <w:b/>
                <w:sz w:val="28"/>
                <w:szCs w:val="28"/>
              </w:rPr>
            </w:pPr>
            <w:bookmarkStart w:id="7" w:name="_heading=h.1t3h5sf" w:colFirst="0" w:colLast="0"/>
            <w:bookmarkEnd w:id="7"/>
            <w:r>
              <w:t xml:space="preserve"> </w:t>
            </w:r>
            <w:r>
              <w:rPr>
                <w:b/>
                <w:sz w:val="28"/>
                <w:szCs w:val="28"/>
              </w:rPr>
              <w:t>Υπάρχουν εξαιρέσεις στην κάλυψη;</w:t>
            </w:r>
            <w:r>
              <w:rPr>
                <w:noProof/>
              </w:rPr>
              <w:drawing>
                <wp:anchor distT="57150" distB="57150" distL="57150" distR="57150" simplePos="0" relativeHeight="251660288" behindDoc="0" locked="0" layoutInCell="1" hidden="0" allowOverlap="1" wp14:anchorId="7F4CDE8D" wp14:editId="4302D3CA">
                  <wp:simplePos x="0" y="0"/>
                  <wp:positionH relativeFrom="column">
                    <wp:posOffset>95250</wp:posOffset>
                  </wp:positionH>
                  <wp:positionV relativeFrom="paragraph">
                    <wp:posOffset>57150</wp:posOffset>
                  </wp:positionV>
                  <wp:extent cx="358140" cy="373380"/>
                  <wp:effectExtent l="0" t="0" r="0" b="0"/>
                  <wp:wrapSquare wrapText="bothSides" distT="57150" distB="57150" distL="57150" distR="5715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8140" cy="373380"/>
                          </a:xfrm>
                          <a:prstGeom prst="rect">
                            <a:avLst/>
                          </a:prstGeom>
                          <a:ln/>
                        </pic:spPr>
                      </pic:pic>
                    </a:graphicData>
                  </a:graphic>
                </wp:anchor>
              </w:drawing>
            </w:r>
          </w:p>
          <w:p w14:paraId="5C34763B" w14:textId="77777777" w:rsidR="008347DF" w:rsidRDefault="00931082">
            <w:pPr>
              <w:ind w:left="566" w:right="219"/>
              <w:rPr>
                <w:rFonts w:ascii="Arial" w:eastAsia="Arial" w:hAnsi="Arial" w:cs="Arial"/>
                <w:sz w:val="20"/>
                <w:szCs w:val="20"/>
              </w:rPr>
            </w:pPr>
            <w:r>
              <w:rPr>
                <w:rFonts w:ascii="Arial" w:eastAsia="Arial" w:hAnsi="Arial" w:cs="Arial"/>
                <w:sz w:val="20"/>
                <w:szCs w:val="20"/>
              </w:rPr>
              <w:t>Βασικές εξαιρέσεις</w:t>
            </w:r>
          </w:p>
          <w:p w14:paraId="63A8A1DA" w14:textId="77777777" w:rsidR="008347DF" w:rsidRDefault="00931082">
            <w:pPr>
              <w:numPr>
                <w:ilvl w:val="0"/>
                <w:numId w:val="5"/>
              </w:numPr>
              <w:ind w:left="566" w:right="219"/>
              <w:rPr>
                <w:sz w:val="20"/>
                <w:szCs w:val="20"/>
              </w:rPr>
            </w:pPr>
            <w:r>
              <w:rPr>
                <w:rFonts w:ascii="Arial" w:eastAsia="Arial" w:hAnsi="Arial" w:cs="Arial"/>
                <w:sz w:val="20"/>
                <w:szCs w:val="20"/>
              </w:rPr>
              <w:t>Επαγγελματική χρήση του σκάφους</w:t>
            </w:r>
          </w:p>
          <w:p w14:paraId="57562207" w14:textId="77777777" w:rsidR="008347DF" w:rsidRDefault="00931082">
            <w:pPr>
              <w:numPr>
                <w:ilvl w:val="0"/>
                <w:numId w:val="5"/>
              </w:numPr>
              <w:ind w:left="566" w:right="219"/>
              <w:rPr>
                <w:sz w:val="20"/>
                <w:szCs w:val="20"/>
              </w:rPr>
            </w:pPr>
            <w:r>
              <w:rPr>
                <w:rFonts w:ascii="Arial" w:eastAsia="Arial" w:hAnsi="Arial" w:cs="Arial"/>
                <w:sz w:val="20"/>
                <w:szCs w:val="20"/>
              </w:rPr>
              <w:t>Η βλάβη του σκάφους</w:t>
            </w:r>
          </w:p>
          <w:p w14:paraId="1E644DB9" w14:textId="77777777" w:rsidR="008347DF" w:rsidRDefault="00931082">
            <w:pPr>
              <w:numPr>
                <w:ilvl w:val="0"/>
                <w:numId w:val="5"/>
              </w:numPr>
              <w:ind w:left="566" w:right="219"/>
              <w:rPr>
                <w:sz w:val="20"/>
                <w:szCs w:val="20"/>
              </w:rPr>
            </w:pPr>
            <w:r>
              <w:rPr>
                <w:rFonts w:ascii="Arial" w:eastAsia="Arial" w:hAnsi="Arial" w:cs="Arial"/>
                <w:sz w:val="20"/>
                <w:szCs w:val="20"/>
              </w:rPr>
              <w:t>Κλοπή εξοπλισμού και εξαρτημάτων</w:t>
            </w:r>
          </w:p>
          <w:p w14:paraId="09066A42" w14:textId="77777777" w:rsidR="008347DF" w:rsidRDefault="00931082">
            <w:pPr>
              <w:numPr>
                <w:ilvl w:val="0"/>
                <w:numId w:val="5"/>
              </w:numPr>
              <w:ind w:left="566" w:right="219"/>
              <w:rPr>
                <w:sz w:val="20"/>
                <w:szCs w:val="20"/>
              </w:rPr>
            </w:pPr>
            <w:r>
              <w:rPr>
                <w:rFonts w:ascii="Arial" w:eastAsia="Arial" w:hAnsi="Arial" w:cs="Arial"/>
                <w:sz w:val="20"/>
                <w:szCs w:val="20"/>
              </w:rPr>
              <w:t>Αμέλεια</w:t>
            </w:r>
          </w:p>
        </w:tc>
      </w:tr>
      <w:tr w:rsidR="008347DF" w14:paraId="37448D4F" w14:textId="77777777">
        <w:trPr>
          <w:trHeight w:val="420"/>
          <w:jc w:val="center"/>
        </w:trPr>
        <w:tc>
          <w:tcPr>
            <w:tcW w:w="10305" w:type="dxa"/>
            <w:gridSpan w:val="2"/>
            <w:tcBorders>
              <w:left w:val="nil"/>
            </w:tcBorders>
            <w:shd w:val="clear" w:color="auto" w:fill="EFEFEF"/>
            <w:tcMar>
              <w:top w:w="90" w:type="dxa"/>
              <w:left w:w="90" w:type="dxa"/>
              <w:bottom w:w="90" w:type="dxa"/>
              <w:right w:w="90" w:type="dxa"/>
            </w:tcMar>
          </w:tcPr>
          <w:p w14:paraId="3444D19C" w14:textId="77777777" w:rsidR="008347DF" w:rsidRDefault="00931082">
            <w:pPr>
              <w:keepNext/>
              <w:keepLines/>
              <w:spacing w:after="120"/>
              <w:rPr>
                <w:b/>
                <w:sz w:val="28"/>
                <w:szCs w:val="28"/>
              </w:rPr>
            </w:pPr>
            <w:bookmarkStart w:id="8" w:name="_heading=h.4d34og8" w:colFirst="0" w:colLast="0"/>
            <w:bookmarkEnd w:id="8"/>
            <w:r>
              <w:rPr>
                <w:noProof/>
              </w:rPr>
              <w:lastRenderedPageBreak/>
              <w:drawing>
                <wp:anchor distT="57150" distB="57150" distL="57150" distR="57150" simplePos="0" relativeHeight="251661312" behindDoc="0" locked="0" layoutInCell="1" hidden="0" allowOverlap="1" wp14:anchorId="5E83BCEE" wp14:editId="7EF3DA69">
                  <wp:simplePos x="0" y="0"/>
                  <wp:positionH relativeFrom="column">
                    <wp:posOffset>85725</wp:posOffset>
                  </wp:positionH>
                  <wp:positionV relativeFrom="paragraph">
                    <wp:posOffset>57150</wp:posOffset>
                  </wp:positionV>
                  <wp:extent cx="381173" cy="405765"/>
                  <wp:effectExtent l="0" t="0" r="0" b="0"/>
                  <wp:wrapSquare wrapText="bothSides" distT="57150" distB="57150" distL="57150" distR="5715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81173" cy="405765"/>
                          </a:xfrm>
                          <a:prstGeom prst="rect">
                            <a:avLst/>
                          </a:prstGeom>
                          <a:ln/>
                        </pic:spPr>
                      </pic:pic>
                    </a:graphicData>
                  </a:graphic>
                </wp:anchor>
              </w:drawing>
            </w:r>
          </w:p>
          <w:p w14:paraId="4F2A0C63" w14:textId="77777777" w:rsidR="008347DF" w:rsidRDefault="00931082">
            <w:pPr>
              <w:keepNext/>
              <w:keepLines/>
              <w:spacing w:after="120"/>
              <w:ind w:right="203"/>
              <w:rPr>
                <w:b/>
                <w:sz w:val="28"/>
                <w:szCs w:val="28"/>
              </w:rPr>
            </w:pPr>
            <w:bookmarkStart w:id="9" w:name="_heading=h.2s8eyo1" w:colFirst="0" w:colLast="0"/>
            <w:bookmarkEnd w:id="9"/>
            <w:r>
              <w:rPr>
                <w:b/>
                <w:sz w:val="28"/>
                <w:szCs w:val="28"/>
              </w:rPr>
              <w:t xml:space="preserve">Πού </w:t>
            </w:r>
            <w:proofErr w:type="gramStart"/>
            <w:r>
              <w:rPr>
                <w:b/>
                <w:sz w:val="28"/>
                <w:szCs w:val="28"/>
              </w:rPr>
              <w:t>καλύπτομαι;</w:t>
            </w:r>
            <w:proofErr w:type="gramEnd"/>
          </w:p>
          <w:p w14:paraId="1B2A0D15" w14:textId="77777777" w:rsidR="008347DF" w:rsidRDefault="00931082">
            <w:pPr>
              <w:numPr>
                <w:ilvl w:val="0"/>
                <w:numId w:val="2"/>
              </w:numPr>
              <w:spacing w:before="120"/>
              <w:ind w:right="62"/>
              <w:jc w:val="both"/>
            </w:pPr>
            <w:r>
              <w:rPr>
                <w:rFonts w:ascii="Arial" w:eastAsia="Arial" w:hAnsi="Arial" w:cs="Arial"/>
                <w:sz w:val="20"/>
                <w:szCs w:val="20"/>
              </w:rPr>
              <w:t xml:space="preserve">Σε όλο τον κόσμο. Ωστόσο, η επιστροφή χρημάτων θα γίνει σε ευρώ. Ο ασφαλιστής δεν πληρώνει για την ισοδύναμη αξία στο νόμισμα της χώρας κατοικίας του ασφαλισμένου ή τυχόν τραπεζικά έξοδα που επιβάλλονται από την τράπεζα του ασφαλισμένου. </w:t>
            </w:r>
          </w:p>
        </w:tc>
      </w:tr>
      <w:tr w:rsidR="008347DF" w14:paraId="5B6B69E7" w14:textId="77777777">
        <w:trPr>
          <w:trHeight w:val="420"/>
          <w:jc w:val="center"/>
        </w:trPr>
        <w:tc>
          <w:tcPr>
            <w:tcW w:w="10305" w:type="dxa"/>
            <w:gridSpan w:val="2"/>
            <w:tcBorders>
              <w:left w:val="nil"/>
            </w:tcBorders>
            <w:shd w:val="clear" w:color="auto" w:fill="EFEFEF"/>
            <w:tcMar>
              <w:top w:w="90" w:type="dxa"/>
              <w:left w:w="90" w:type="dxa"/>
              <w:bottom w:w="90" w:type="dxa"/>
              <w:right w:w="90" w:type="dxa"/>
            </w:tcMar>
          </w:tcPr>
          <w:p w14:paraId="5BEDEFC2" w14:textId="77777777" w:rsidR="008347DF" w:rsidRDefault="00931082">
            <w:pPr>
              <w:keepNext/>
              <w:keepLines/>
              <w:spacing w:after="120"/>
              <w:ind w:left="566" w:hanging="425"/>
              <w:rPr>
                <w:b/>
                <w:sz w:val="28"/>
                <w:szCs w:val="28"/>
              </w:rPr>
            </w:pPr>
            <w:bookmarkStart w:id="10" w:name="_heading=h.17dp8vu" w:colFirst="0" w:colLast="0"/>
            <w:bookmarkEnd w:id="10"/>
            <w:r>
              <w:rPr>
                <w:noProof/>
              </w:rPr>
              <w:drawing>
                <wp:anchor distT="57150" distB="57150" distL="57150" distR="57150" simplePos="0" relativeHeight="251662336" behindDoc="0" locked="0" layoutInCell="1" hidden="0" allowOverlap="1" wp14:anchorId="6C0EFA2F" wp14:editId="15A0C9A6">
                  <wp:simplePos x="0" y="0"/>
                  <wp:positionH relativeFrom="column">
                    <wp:posOffset>76200</wp:posOffset>
                  </wp:positionH>
                  <wp:positionV relativeFrom="paragraph">
                    <wp:posOffset>95250</wp:posOffset>
                  </wp:positionV>
                  <wp:extent cx="394335" cy="400695"/>
                  <wp:effectExtent l="0" t="0" r="0" b="0"/>
                  <wp:wrapSquare wrapText="bothSides" distT="57150" distB="57150" distL="57150" distR="5715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94335" cy="400695"/>
                          </a:xfrm>
                          <a:prstGeom prst="rect">
                            <a:avLst/>
                          </a:prstGeom>
                          <a:ln/>
                        </pic:spPr>
                      </pic:pic>
                    </a:graphicData>
                  </a:graphic>
                </wp:anchor>
              </w:drawing>
            </w:r>
          </w:p>
          <w:p w14:paraId="5213BA12" w14:textId="77777777" w:rsidR="008347DF" w:rsidRDefault="00931082">
            <w:pPr>
              <w:keepNext/>
              <w:keepLines/>
              <w:spacing w:after="120"/>
              <w:ind w:left="566" w:right="203" w:hanging="425"/>
              <w:rPr>
                <w:b/>
                <w:sz w:val="28"/>
                <w:szCs w:val="28"/>
              </w:rPr>
            </w:pPr>
            <w:bookmarkStart w:id="11" w:name="_heading=h.3rdcrjn" w:colFirst="0" w:colLast="0"/>
            <w:bookmarkEnd w:id="11"/>
            <w:r>
              <w:rPr>
                <w:b/>
                <w:sz w:val="28"/>
                <w:szCs w:val="28"/>
              </w:rPr>
              <w:t xml:space="preserve">Ποιες είναι οι υποχρεώσεις </w:t>
            </w:r>
            <w:proofErr w:type="gramStart"/>
            <w:r>
              <w:rPr>
                <w:b/>
                <w:sz w:val="28"/>
                <w:szCs w:val="28"/>
              </w:rPr>
              <w:t>μου;</w:t>
            </w:r>
            <w:proofErr w:type="gramEnd"/>
          </w:p>
          <w:p w14:paraId="59D62126" w14:textId="77777777" w:rsidR="008347DF" w:rsidRDefault="00931082">
            <w:pPr>
              <w:numPr>
                <w:ilvl w:val="0"/>
                <w:numId w:val="3"/>
              </w:numPr>
              <w:ind w:right="192"/>
              <w:rPr>
                <w:rFonts w:ascii="Arial" w:eastAsia="Arial" w:hAnsi="Arial" w:cs="Arial"/>
                <w:b/>
                <w:sz w:val="20"/>
                <w:szCs w:val="20"/>
              </w:rPr>
            </w:pPr>
            <w:r>
              <w:rPr>
                <w:rFonts w:ascii="Arial" w:eastAsia="Arial" w:hAnsi="Arial" w:cs="Arial"/>
                <w:b/>
                <w:sz w:val="20"/>
                <w:szCs w:val="20"/>
              </w:rPr>
              <w:t>Κατά τη συμμετοχή:</w:t>
            </w:r>
          </w:p>
          <w:p w14:paraId="06C29C21" w14:textId="77777777" w:rsidR="008347DF" w:rsidRDefault="00931082">
            <w:pPr>
              <w:numPr>
                <w:ilvl w:val="1"/>
                <w:numId w:val="3"/>
              </w:numPr>
              <w:ind w:right="192"/>
              <w:rPr>
                <w:rFonts w:ascii="Arial" w:eastAsia="Arial" w:hAnsi="Arial" w:cs="Arial"/>
                <w:sz w:val="20"/>
                <w:szCs w:val="20"/>
              </w:rPr>
            </w:pPr>
            <w:proofErr w:type="gramStart"/>
            <w:r>
              <w:rPr>
                <w:rFonts w:ascii="Arial" w:eastAsia="Arial" w:hAnsi="Arial" w:cs="Arial"/>
                <w:sz w:val="20"/>
                <w:szCs w:val="20"/>
              </w:rPr>
              <w:t>πληρώστε</w:t>
            </w:r>
            <w:proofErr w:type="gramEnd"/>
            <w:r>
              <w:rPr>
                <w:rFonts w:ascii="Arial" w:eastAsia="Arial" w:hAnsi="Arial" w:cs="Arial"/>
                <w:sz w:val="20"/>
                <w:szCs w:val="20"/>
              </w:rPr>
              <w:t xml:space="preserve"> το ασφάλιστρο.</w:t>
            </w:r>
          </w:p>
          <w:p w14:paraId="72EC51FC" w14:textId="77777777" w:rsidR="008347DF" w:rsidRDefault="00931082">
            <w:pPr>
              <w:numPr>
                <w:ilvl w:val="0"/>
                <w:numId w:val="3"/>
              </w:numPr>
              <w:ind w:right="192"/>
              <w:rPr>
                <w:rFonts w:ascii="Arial" w:eastAsia="Arial" w:hAnsi="Arial" w:cs="Arial"/>
                <w:b/>
                <w:sz w:val="20"/>
                <w:szCs w:val="20"/>
              </w:rPr>
            </w:pPr>
            <w:r>
              <w:rPr>
                <w:rFonts w:ascii="Arial" w:eastAsia="Arial" w:hAnsi="Arial" w:cs="Arial"/>
                <w:b/>
                <w:sz w:val="20"/>
                <w:szCs w:val="20"/>
              </w:rPr>
              <w:t>Κατά τη διαδικασία ένταξης:</w:t>
            </w:r>
          </w:p>
          <w:p w14:paraId="6F1232FF" w14:textId="77777777" w:rsidR="008347DF" w:rsidRDefault="00931082">
            <w:pPr>
              <w:numPr>
                <w:ilvl w:val="1"/>
                <w:numId w:val="3"/>
              </w:numPr>
              <w:ind w:right="192"/>
              <w:rPr>
                <w:rFonts w:ascii="Arial" w:eastAsia="Arial" w:hAnsi="Arial" w:cs="Arial"/>
                <w:sz w:val="20"/>
                <w:szCs w:val="20"/>
              </w:rPr>
            </w:pPr>
            <w:proofErr w:type="gramStart"/>
            <w:r>
              <w:rPr>
                <w:rFonts w:ascii="Arial" w:eastAsia="Arial" w:hAnsi="Arial" w:cs="Arial"/>
                <w:sz w:val="20"/>
                <w:szCs w:val="20"/>
              </w:rPr>
              <w:t>ενημερώνει</w:t>
            </w:r>
            <w:proofErr w:type="gramEnd"/>
            <w:r>
              <w:rPr>
                <w:rFonts w:ascii="Arial" w:eastAsia="Arial" w:hAnsi="Arial" w:cs="Arial"/>
                <w:sz w:val="20"/>
                <w:szCs w:val="20"/>
              </w:rPr>
              <w:t xml:space="preserve"> τον Υπεύθυνο Αντιπροσώπου σε περίπτωση μεταβολής των συνθηκών.</w:t>
            </w:r>
          </w:p>
          <w:p w14:paraId="283B439E" w14:textId="77777777" w:rsidR="008347DF" w:rsidRDefault="00931082">
            <w:pPr>
              <w:numPr>
                <w:ilvl w:val="0"/>
                <w:numId w:val="3"/>
              </w:numPr>
              <w:ind w:right="192"/>
              <w:rPr>
                <w:rFonts w:ascii="Arial" w:eastAsia="Arial" w:hAnsi="Arial" w:cs="Arial"/>
                <w:b/>
                <w:sz w:val="20"/>
                <w:szCs w:val="20"/>
              </w:rPr>
            </w:pPr>
            <w:r>
              <w:rPr>
                <w:rFonts w:ascii="Arial" w:eastAsia="Arial" w:hAnsi="Arial" w:cs="Arial"/>
                <w:b/>
                <w:sz w:val="20"/>
                <w:szCs w:val="20"/>
              </w:rPr>
              <w:t>Σε περίπτωση αξίωσης:</w:t>
            </w:r>
          </w:p>
          <w:p w14:paraId="049DDC4B" w14:textId="77777777" w:rsidR="008347DF" w:rsidRDefault="00931082">
            <w:pPr>
              <w:numPr>
                <w:ilvl w:val="1"/>
                <w:numId w:val="3"/>
              </w:numPr>
              <w:ind w:right="192"/>
              <w:rPr>
                <w:rFonts w:ascii="Arial" w:eastAsia="Arial" w:hAnsi="Arial" w:cs="Arial"/>
                <w:sz w:val="20"/>
                <w:szCs w:val="20"/>
              </w:rPr>
            </w:pPr>
            <w:proofErr w:type="gramStart"/>
            <w:r>
              <w:rPr>
                <w:rFonts w:ascii="Arial" w:eastAsia="Arial" w:hAnsi="Arial" w:cs="Arial"/>
                <w:sz w:val="20"/>
                <w:szCs w:val="20"/>
              </w:rPr>
              <w:t>αναφέρουν</w:t>
            </w:r>
            <w:proofErr w:type="gramEnd"/>
            <w:r>
              <w:rPr>
                <w:rFonts w:ascii="Arial" w:eastAsia="Arial" w:hAnsi="Arial" w:cs="Arial"/>
                <w:sz w:val="20"/>
                <w:szCs w:val="20"/>
              </w:rPr>
              <w:t xml:space="preserve"> τυχόν αξίωση εντός των προθεσμιών και σύμφωνα με τις διαδικασίες που ορίζονται στο άρθρο 8 της ενημερωτικής ανακοίνωσης·</w:t>
            </w:r>
          </w:p>
          <w:p w14:paraId="3718DF32" w14:textId="77777777" w:rsidR="008347DF" w:rsidRDefault="00931082">
            <w:pPr>
              <w:numPr>
                <w:ilvl w:val="1"/>
                <w:numId w:val="3"/>
              </w:numPr>
              <w:ind w:right="192"/>
              <w:rPr>
                <w:rFonts w:ascii="Arial" w:eastAsia="Arial" w:hAnsi="Arial" w:cs="Arial"/>
                <w:sz w:val="20"/>
                <w:szCs w:val="20"/>
              </w:rPr>
            </w:pPr>
            <w:proofErr w:type="gramStart"/>
            <w:r>
              <w:rPr>
                <w:rFonts w:ascii="Arial" w:eastAsia="Arial" w:hAnsi="Arial" w:cs="Arial"/>
                <w:sz w:val="20"/>
                <w:szCs w:val="20"/>
              </w:rPr>
              <w:t>προσκομίζει</w:t>
            </w:r>
            <w:proofErr w:type="gramEnd"/>
            <w:r>
              <w:rPr>
                <w:rFonts w:ascii="Arial" w:eastAsia="Arial" w:hAnsi="Arial" w:cs="Arial"/>
                <w:sz w:val="20"/>
                <w:szCs w:val="20"/>
              </w:rPr>
              <w:t xml:space="preserve"> τα απαιτούμενα δικαιολογητικά·</w:t>
            </w:r>
          </w:p>
          <w:p w14:paraId="5037529C" w14:textId="77777777" w:rsidR="008347DF" w:rsidRDefault="00931082">
            <w:pPr>
              <w:numPr>
                <w:ilvl w:val="1"/>
                <w:numId w:val="3"/>
              </w:numPr>
              <w:ind w:right="192"/>
              <w:rPr>
                <w:rFonts w:ascii="Arial" w:eastAsia="Arial" w:hAnsi="Arial" w:cs="Arial"/>
                <w:sz w:val="20"/>
                <w:szCs w:val="20"/>
              </w:rPr>
            </w:pPr>
            <w:r>
              <w:rPr>
                <w:rFonts w:ascii="Arial" w:eastAsia="Arial" w:hAnsi="Arial" w:cs="Arial"/>
                <w:sz w:val="20"/>
                <w:szCs w:val="20"/>
              </w:rPr>
              <w:t>Αποφύγετε να επισκευάσετε μόνοι σας το ακίνητο.</w:t>
            </w:r>
          </w:p>
          <w:p w14:paraId="75691584" w14:textId="77777777" w:rsidR="008347DF" w:rsidRDefault="008347DF">
            <w:pPr>
              <w:ind w:left="0" w:right="203" w:firstLine="0"/>
            </w:pPr>
          </w:p>
        </w:tc>
      </w:tr>
      <w:tr w:rsidR="008347DF" w14:paraId="6830F746" w14:textId="77777777">
        <w:trPr>
          <w:trHeight w:val="2550"/>
          <w:jc w:val="center"/>
        </w:trPr>
        <w:tc>
          <w:tcPr>
            <w:tcW w:w="10305" w:type="dxa"/>
            <w:gridSpan w:val="2"/>
            <w:tcBorders>
              <w:left w:val="nil"/>
            </w:tcBorders>
            <w:shd w:val="clear" w:color="auto" w:fill="EFEFEF"/>
            <w:tcMar>
              <w:top w:w="90" w:type="dxa"/>
              <w:left w:w="90" w:type="dxa"/>
              <w:bottom w:w="90" w:type="dxa"/>
              <w:right w:w="90" w:type="dxa"/>
            </w:tcMar>
          </w:tcPr>
          <w:p w14:paraId="42CAB3FC" w14:textId="77777777" w:rsidR="008347DF" w:rsidRDefault="00931082">
            <w:pPr>
              <w:keepNext/>
              <w:keepLines/>
              <w:spacing w:after="120"/>
              <w:ind w:left="566" w:hanging="425"/>
              <w:rPr>
                <w:b/>
                <w:sz w:val="28"/>
                <w:szCs w:val="28"/>
              </w:rPr>
            </w:pPr>
            <w:bookmarkStart w:id="12" w:name="_heading=h.26in1rg" w:colFirst="0" w:colLast="0"/>
            <w:bookmarkEnd w:id="12"/>
            <w:r>
              <w:rPr>
                <w:noProof/>
              </w:rPr>
              <w:drawing>
                <wp:anchor distT="57150" distB="57150" distL="57150" distR="57150" simplePos="0" relativeHeight="251663360" behindDoc="0" locked="0" layoutInCell="1" hidden="0" allowOverlap="1" wp14:anchorId="5464A06C" wp14:editId="336B3523">
                  <wp:simplePos x="0" y="0"/>
                  <wp:positionH relativeFrom="column">
                    <wp:posOffset>57150</wp:posOffset>
                  </wp:positionH>
                  <wp:positionV relativeFrom="paragraph">
                    <wp:posOffset>66675</wp:posOffset>
                  </wp:positionV>
                  <wp:extent cx="409044" cy="422910"/>
                  <wp:effectExtent l="0" t="0" r="0" b="0"/>
                  <wp:wrapSquare wrapText="bothSides" distT="57150" distB="57150" distL="57150" distR="5715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09044" cy="422910"/>
                          </a:xfrm>
                          <a:prstGeom prst="rect">
                            <a:avLst/>
                          </a:prstGeom>
                          <a:ln/>
                        </pic:spPr>
                      </pic:pic>
                    </a:graphicData>
                  </a:graphic>
                </wp:anchor>
              </w:drawing>
            </w:r>
          </w:p>
          <w:p w14:paraId="7567A80E" w14:textId="77777777" w:rsidR="008347DF" w:rsidRDefault="00931082">
            <w:pPr>
              <w:keepNext/>
              <w:keepLines/>
              <w:spacing w:after="120"/>
              <w:ind w:left="566" w:right="203" w:hanging="425"/>
              <w:rPr>
                <w:b/>
                <w:sz w:val="28"/>
                <w:szCs w:val="28"/>
              </w:rPr>
            </w:pPr>
            <w:bookmarkStart w:id="13" w:name="_heading=h.lnxbz9" w:colFirst="0" w:colLast="0"/>
            <w:bookmarkEnd w:id="13"/>
            <w:r>
              <w:rPr>
                <w:b/>
                <w:sz w:val="28"/>
                <w:szCs w:val="28"/>
              </w:rPr>
              <w:t xml:space="preserve">Πότε και πώς να κάνετε </w:t>
            </w:r>
            <w:proofErr w:type="gramStart"/>
            <w:r>
              <w:rPr>
                <w:b/>
                <w:sz w:val="28"/>
                <w:szCs w:val="28"/>
              </w:rPr>
              <w:t>πληρωμές;</w:t>
            </w:r>
            <w:proofErr w:type="gramEnd"/>
          </w:p>
          <w:p w14:paraId="24A7154D" w14:textId="77777777" w:rsidR="008347DF" w:rsidRDefault="00931082">
            <w:pPr>
              <w:ind w:left="0" w:firstLine="0"/>
              <w:jc w:val="both"/>
              <w:rPr>
                <w:rFonts w:ascii="Arial" w:eastAsia="Arial" w:hAnsi="Arial" w:cs="Arial"/>
                <w:sz w:val="20"/>
                <w:szCs w:val="20"/>
              </w:rPr>
            </w:pPr>
            <w:r>
              <w:rPr>
                <w:rFonts w:ascii="Arial" w:eastAsia="Arial" w:hAnsi="Arial" w:cs="Arial"/>
                <w:sz w:val="20"/>
                <w:szCs w:val="20"/>
              </w:rPr>
              <w:t>Το ασφάλιστρο υπολογίζεται με βάση την αξία της προκαταβολής και τον αριθμό των ημερών ενοικίασης. Το ποσό αναγράφεται στο Πιστοποιητικό Μέλους.</w:t>
            </w:r>
          </w:p>
          <w:p w14:paraId="38E8FA53" w14:textId="77777777" w:rsidR="008347DF" w:rsidRDefault="008347DF">
            <w:pPr>
              <w:ind w:left="0" w:firstLine="0"/>
              <w:jc w:val="both"/>
              <w:rPr>
                <w:rFonts w:ascii="Arial" w:eastAsia="Arial" w:hAnsi="Arial" w:cs="Arial"/>
                <w:sz w:val="20"/>
                <w:szCs w:val="20"/>
              </w:rPr>
            </w:pPr>
          </w:p>
          <w:p w14:paraId="5CD80357" w14:textId="77777777" w:rsidR="008347DF" w:rsidRDefault="00931082">
            <w:pPr>
              <w:ind w:left="0" w:firstLine="0"/>
              <w:jc w:val="both"/>
            </w:pPr>
            <w:r>
              <w:rPr>
                <w:rFonts w:ascii="Arial" w:eastAsia="Arial" w:hAnsi="Arial" w:cs="Arial"/>
                <w:sz w:val="20"/>
                <w:szCs w:val="20"/>
              </w:rPr>
              <w:t xml:space="preserve">Το ασφάλιστρο καταβάλλεται εξ ολοκλήρου στον Διανομέα την ίδια ημέρα με την υπογραφή της Σύμβασης. </w:t>
            </w:r>
          </w:p>
          <w:p w14:paraId="6604FB7E" w14:textId="77777777" w:rsidR="008347DF" w:rsidRDefault="008347DF">
            <w:pPr>
              <w:ind w:left="566" w:hanging="425"/>
            </w:pPr>
          </w:p>
        </w:tc>
      </w:tr>
      <w:tr w:rsidR="008347DF" w14:paraId="577D5BAE" w14:textId="77777777">
        <w:trPr>
          <w:trHeight w:val="420"/>
          <w:jc w:val="center"/>
        </w:trPr>
        <w:tc>
          <w:tcPr>
            <w:tcW w:w="10305" w:type="dxa"/>
            <w:gridSpan w:val="2"/>
            <w:tcBorders>
              <w:left w:val="nil"/>
            </w:tcBorders>
            <w:shd w:val="clear" w:color="auto" w:fill="EFEFEF"/>
            <w:tcMar>
              <w:top w:w="90" w:type="dxa"/>
              <w:left w:w="90" w:type="dxa"/>
              <w:bottom w:w="90" w:type="dxa"/>
              <w:right w:w="90" w:type="dxa"/>
            </w:tcMar>
          </w:tcPr>
          <w:p w14:paraId="398B24DA" w14:textId="77777777" w:rsidR="008347DF" w:rsidRDefault="00931082">
            <w:pPr>
              <w:keepNext/>
              <w:keepLines/>
              <w:spacing w:after="120"/>
              <w:ind w:right="203"/>
              <w:rPr>
                <w:b/>
                <w:sz w:val="28"/>
                <w:szCs w:val="28"/>
              </w:rPr>
            </w:pPr>
            <w:bookmarkStart w:id="14" w:name="_heading=h.35nkun2" w:colFirst="0" w:colLast="0"/>
            <w:bookmarkEnd w:id="14"/>
            <w:r>
              <w:rPr>
                <w:noProof/>
              </w:rPr>
              <w:drawing>
                <wp:anchor distT="57150" distB="57150" distL="57150" distR="57150" simplePos="0" relativeHeight="251664384" behindDoc="0" locked="0" layoutInCell="1" hidden="0" allowOverlap="1" wp14:anchorId="32E25AC1" wp14:editId="30C06C31">
                  <wp:simplePos x="0" y="0"/>
                  <wp:positionH relativeFrom="column">
                    <wp:posOffset>57150</wp:posOffset>
                  </wp:positionH>
                  <wp:positionV relativeFrom="paragraph">
                    <wp:posOffset>57150</wp:posOffset>
                  </wp:positionV>
                  <wp:extent cx="413385" cy="434405"/>
                  <wp:effectExtent l="0" t="0" r="0" b="0"/>
                  <wp:wrapSquare wrapText="bothSides" distT="57150" distB="57150" distL="57150" distR="5715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13385" cy="434405"/>
                          </a:xfrm>
                          <a:prstGeom prst="rect">
                            <a:avLst/>
                          </a:prstGeom>
                          <a:ln/>
                        </pic:spPr>
                      </pic:pic>
                    </a:graphicData>
                  </a:graphic>
                </wp:anchor>
              </w:drawing>
            </w:r>
          </w:p>
          <w:p w14:paraId="2A1192AB" w14:textId="77777777" w:rsidR="008347DF" w:rsidRDefault="00931082">
            <w:pPr>
              <w:keepNext/>
              <w:keepLines/>
              <w:spacing w:after="120"/>
              <w:ind w:right="203"/>
              <w:rPr>
                <w:b/>
                <w:sz w:val="28"/>
                <w:szCs w:val="28"/>
              </w:rPr>
            </w:pPr>
            <w:bookmarkStart w:id="15" w:name="_heading=h.1ksv4uv" w:colFirst="0" w:colLast="0"/>
            <w:bookmarkEnd w:id="15"/>
            <w:r>
              <w:rPr>
                <w:b/>
                <w:sz w:val="28"/>
                <w:szCs w:val="28"/>
              </w:rPr>
              <w:t xml:space="preserve">Πότε αρχίζει η κάλυψη και πότε </w:t>
            </w:r>
            <w:proofErr w:type="gramStart"/>
            <w:r>
              <w:rPr>
                <w:b/>
                <w:sz w:val="28"/>
                <w:szCs w:val="28"/>
              </w:rPr>
              <w:t>τελειώνει;</w:t>
            </w:r>
            <w:proofErr w:type="gramEnd"/>
            <w:r>
              <w:rPr>
                <w:b/>
                <w:sz w:val="28"/>
                <w:szCs w:val="28"/>
              </w:rPr>
              <w:t xml:space="preserve"> </w:t>
            </w:r>
          </w:p>
          <w:p w14:paraId="7F346AEE" w14:textId="77777777" w:rsidR="008347DF" w:rsidRDefault="00931082">
            <w:pPr>
              <w:ind w:left="0" w:firstLine="0"/>
              <w:jc w:val="both"/>
              <w:rPr>
                <w:rFonts w:ascii="Arial" w:eastAsia="Arial" w:hAnsi="Arial" w:cs="Arial"/>
                <w:sz w:val="20"/>
                <w:szCs w:val="20"/>
              </w:rPr>
            </w:pPr>
            <w:r>
              <w:rPr>
                <w:rFonts w:ascii="Arial" w:eastAsia="Arial" w:hAnsi="Arial" w:cs="Arial"/>
                <w:sz w:val="20"/>
                <w:szCs w:val="20"/>
              </w:rPr>
              <w:t>Η Εγγύηση τίθεται σε ισχύ την ημέρα που το μέλος αποκτά την κατοχή του σκάφους και λήγει με την επιστροφή του.</w:t>
            </w:r>
          </w:p>
          <w:p w14:paraId="18F7313D" w14:textId="77777777" w:rsidR="008347DF" w:rsidRDefault="00931082">
            <w:pPr>
              <w:ind w:left="0" w:firstLine="0"/>
              <w:jc w:val="both"/>
            </w:pPr>
            <w:r>
              <w:rPr>
                <w:rFonts w:ascii="Arial" w:eastAsia="Arial" w:hAnsi="Arial" w:cs="Arial"/>
                <w:sz w:val="20"/>
                <w:szCs w:val="20"/>
              </w:rPr>
              <w:t xml:space="preserve">Η Εγγύηση έχει την ίδια διάρκεια με τη σύμβαση ενοικίασης σκάφους, αλλά μπορεί να τερματιστεί πρόωρα στις περιπτώσεις που ορίζονται στο άρθρο 7.2. </w:t>
            </w:r>
          </w:p>
          <w:p w14:paraId="5E289F8A" w14:textId="77777777" w:rsidR="008347DF" w:rsidRDefault="008347DF"/>
        </w:tc>
      </w:tr>
      <w:tr w:rsidR="008347DF" w14:paraId="1EBB81AA" w14:textId="77777777">
        <w:trPr>
          <w:trHeight w:val="420"/>
          <w:jc w:val="center"/>
        </w:trPr>
        <w:tc>
          <w:tcPr>
            <w:tcW w:w="10305" w:type="dxa"/>
            <w:gridSpan w:val="2"/>
            <w:tcBorders>
              <w:left w:val="nil"/>
            </w:tcBorders>
            <w:shd w:val="clear" w:color="auto" w:fill="EFEFEF"/>
            <w:tcMar>
              <w:top w:w="90" w:type="dxa"/>
              <w:left w:w="90" w:type="dxa"/>
              <w:bottom w:w="90" w:type="dxa"/>
              <w:right w:w="90" w:type="dxa"/>
            </w:tcMar>
          </w:tcPr>
          <w:p w14:paraId="7F330749" w14:textId="77777777" w:rsidR="008347DF" w:rsidRDefault="00931082">
            <w:pPr>
              <w:keepNext/>
              <w:keepLines/>
              <w:spacing w:after="120"/>
              <w:rPr>
                <w:b/>
                <w:sz w:val="28"/>
                <w:szCs w:val="28"/>
              </w:rPr>
            </w:pPr>
            <w:bookmarkStart w:id="16" w:name="_heading=h.44sinio" w:colFirst="0" w:colLast="0"/>
            <w:bookmarkEnd w:id="16"/>
            <w:r>
              <w:rPr>
                <w:noProof/>
              </w:rPr>
              <w:drawing>
                <wp:anchor distT="57150" distB="57150" distL="57150" distR="57150" simplePos="0" relativeHeight="251665408" behindDoc="0" locked="0" layoutInCell="1" hidden="0" allowOverlap="1" wp14:anchorId="6103519D" wp14:editId="575EEE9E">
                  <wp:simplePos x="0" y="0"/>
                  <wp:positionH relativeFrom="column">
                    <wp:posOffset>57150</wp:posOffset>
                  </wp:positionH>
                  <wp:positionV relativeFrom="paragraph">
                    <wp:posOffset>57150</wp:posOffset>
                  </wp:positionV>
                  <wp:extent cx="405765" cy="419520"/>
                  <wp:effectExtent l="0" t="0" r="0" b="0"/>
                  <wp:wrapSquare wrapText="bothSides" distT="57150" distB="57150" distL="57150" distR="5715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05765" cy="419520"/>
                          </a:xfrm>
                          <a:prstGeom prst="rect">
                            <a:avLst/>
                          </a:prstGeom>
                          <a:ln/>
                        </pic:spPr>
                      </pic:pic>
                    </a:graphicData>
                  </a:graphic>
                </wp:anchor>
              </w:drawing>
            </w:r>
          </w:p>
          <w:p w14:paraId="63AB7CFE" w14:textId="77777777" w:rsidR="008347DF" w:rsidRDefault="00931082">
            <w:pPr>
              <w:keepNext/>
              <w:keepLines/>
              <w:spacing w:after="120"/>
              <w:ind w:right="203"/>
              <w:rPr>
                <w:b/>
                <w:sz w:val="28"/>
                <w:szCs w:val="28"/>
              </w:rPr>
            </w:pPr>
            <w:bookmarkStart w:id="17" w:name="_heading=h.2jxsxqh" w:colFirst="0" w:colLast="0"/>
            <w:bookmarkEnd w:id="17"/>
            <w:r>
              <w:rPr>
                <w:b/>
                <w:sz w:val="28"/>
                <w:szCs w:val="28"/>
              </w:rPr>
              <w:t xml:space="preserve">Πώς μπορώ να ακυρώσω τη </w:t>
            </w:r>
            <w:proofErr w:type="gramStart"/>
            <w:r>
              <w:rPr>
                <w:b/>
                <w:sz w:val="28"/>
                <w:szCs w:val="28"/>
              </w:rPr>
              <w:t>σύμβαση;</w:t>
            </w:r>
            <w:proofErr w:type="gramEnd"/>
          </w:p>
          <w:p w14:paraId="44E717AE" w14:textId="77777777" w:rsidR="008347DF" w:rsidRDefault="00931082">
            <w:pPr>
              <w:ind w:left="0" w:firstLine="0"/>
              <w:jc w:val="both"/>
              <w:rPr>
                <w:rFonts w:ascii="Arial" w:eastAsia="Arial" w:hAnsi="Arial" w:cs="Arial"/>
                <w:sz w:val="20"/>
                <w:szCs w:val="20"/>
              </w:rPr>
            </w:pPr>
            <w:r>
              <w:rPr>
                <w:rFonts w:ascii="Arial" w:eastAsia="Arial" w:hAnsi="Arial" w:cs="Arial"/>
                <w:sz w:val="20"/>
                <w:szCs w:val="20"/>
              </w:rPr>
              <w:t>Η ιδιότητα μέλους μπορεί να τερματιστεί από τον Υπεύθυνο Dealer υπό τους όρους που καθορίζονται στην Ενημερωτική Ειδοποίηση.</w:t>
            </w:r>
          </w:p>
          <w:p w14:paraId="70844E44" w14:textId="77777777" w:rsidR="008347DF" w:rsidRDefault="008347DF"/>
        </w:tc>
      </w:tr>
    </w:tbl>
    <w:p w14:paraId="1A6A0D15" w14:textId="7297A95A" w:rsidR="008347DF" w:rsidRDefault="008347DF">
      <w:pPr>
        <w:ind w:left="0" w:firstLine="0"/>
        <w:rPr>
          <w:sz w:val="2"/>
          <w:szCs w:val="2"/>
        </w:rPr>
      </w:pPr>
    </w:p>
    <w:sectPr w:rsidR="008347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roman"/>
    <w:pitch w:val="default"/>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E53"/>
    <w:multiLevelType w:val="multilevel"/>
    <w:tmpl w:val="25CEC20E"/>
    <w:lvl w:ilvl="0">
      <w:start w:val="1"/>
      <w:numFmt w:val="bullet"/>
      <w:lvlText w:val="!"/>
      <w:lvlJc w:val="left"/>
      <w:pPr>
        <w:ind w:left="720" w:hanging="360"/>
      </w:pPr>
      <w:rPr>
        <w:rFonts w:ascii="Arial" w:eastAsia="Arial" w:hAnsi="Arial" w:cs="Arial"/>
        <w:b/>
        <w:color w:val="FF99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73867"/>
    <w:multiLevelType w:val="multilevel"/>
    <w:tmpl w:val="FC087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512EA7"/>
    <w:multiLevelType w:val="multilevel"/>
    <w:tmpl w:val="E620EB64"/>
    <w:lvl w:ilvl="0">
      <w:start w:val="1"/>
      <w:numFmt w:val="bullet"/>
      <w:lvlText w:val="✔"/>
      <w:lvlJc w:val="left"/>
      <w:pPr>
        <w:ind w:left="720" w:hanging="360"/>
      </w:pPr>
      <w:rPr>
        <w:color w:val="93C47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15E69"/>
    <w:multiLevelType w:val="multilevel"/>
    <w:tmpl w:val="50E8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036EDB"/>
    <w:multiLevelType w:val="multilevel"/>
    <w:tmpl w:val="2ED06A7C"/>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3366427">
    <w:abstractNumId w:val="4"/>
  </w:num>
  <w:num w:numId="2" w16cid:durableId="923340506">
    <w:abstractNumId w:val="1"/>
  </w:num>
  <w:num w:numId="3" w16cid:durableId="1399673132">
    <w:abstractNumId w:val="3"/>
  </w:num>
  <w:num w:numId="4" w16cid:durableId="181675976">
    <w:abstractNumId w:val="2"/>
  </w:num>
  <w:num w:numId="5" w16cid:durableId="163355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DF"/>
    <w:rsid w:val="008347DF"/>
    <w:rsid w:val="00885DA0"/>
    <w:rsid w:val="00931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C329BB"/>
  <w15:docId w15:val="{37889286-F652-7E44-83E7-83E3315F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 w:eastAsia="fr-FR" w:bidi="ar-SA"/>
      </w:rPr>
    </w:rPrDefault>
    <w:pPrDefault>
      <w:pPr>
        <w:ind w:left="425"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uiPriority w:val="9"/>
    <w:qFormat/>
    <w:pPr>
      <w:keepNext/>
      <w:keepLines/>
      <w:spacing w:before="400" w:after="120"/>
      <w:outlineLvl w:val="0"/>
    </w:pPr>
    <w:rPr>
      <w:sz w:val="40"/>
      <w:szCs w:val="40"/>
    </w:rPr>
  </w:style>
  <w:style w:type="paragraph" w:styleId="Titre2">
    <w:name w:val="heading 2"/>
    <w:basedOn w:val="Normal1"/>
    <w:next w:val="Normal1"/>
    <w:uiPriority w:val="9"/>
    <w:semiHidden/>
    <w:unhideWhenUsed/>
    <w:qFormat/>
    <w:pPr>
      <w:keepNext/>
      <w:keepLines/>
      <w:spacing w:after="120"/>
      <w:outlineLvl w:val="1"/>
    </w:pPr>
    <w:rPr>
      <w:b/>
      <w:sz w:val="28"/>
      <w:szCs w:val="28"/>
    </w:rPr>
  </w:style>
  <w:style w:type="paragraph" w:styleId="Titre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Titre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Titre5">
    <w:name w:val="heading 5"/>
    <w:basedOn w:val="Normal1"/>
    <w:next w:val="Normal1"/>
    <w:uiPriority w:val="9"/>
    <w:semiHidden/>
    <w:unhideWhenUsed/>
    <w:qFormat/>
    <w:pPr>
      <w:keepNext/>
      <w:keepLines/>
      <w:spacing w:before="240" w:after="80"/>
      <w:outlineLvl w:val="4"/>
    </w:pPr>
    <w:rPr>
      <w:color w:val="666666"/>
    </w:rPr>
  </w:style>
  <w:style w:type="paragraph" w:styleId="Titre6">
    <w:name w:val="heading 6"/>
    <w:basedOn w:val="Normal1"/>
    <w:next w:val="Normal1"/>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uiPriority w:val="10"/>
    <w:qFormat/>
    <w:pPr>
      <w:keepNext/>
      <w:keepLines/>
      <w:spacing w:after="60" w:line="276" w:lineRule="auto"/>
    </w:pPr>
    <w:rPr>
      <w:b/>
      <w:color w:val="FFFFFF"/>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pBdr>
        <w:top w:val="nil"/>
        <w:left w:val="nil"/>
        <w:bottom w:val="nil"/>
        <w:right w:val="nil"/>
        <w:between w:val="nil"/>
      </w:pBdr>
      <w:spacing w:line="276" w:lineRule="auto"/>
    </w:pPr>
    <w:rPr>
      <w:rFonts w:ascii="Arial" w:eastAsia="Arial" w:hAnsi="Arial" w:cs="Arial"/>
      <w:b/>
      <w:color w:val="FFFFFF"/>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0D38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38C9"/>
    <w:rPr>
      <w:rFonts w:ascii="Lucida Grande" w:hAnsi="Lucida Grande" w:cs="Lucida Grande"/>
      <w:sz w:val="18"/>
      <w:szCs w:val="18"/>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Textedelespacerserv">
    <w:name w:val="Placeholder Text"/>
    <w:basedOn w:val="Policepardfaut"/>
    <w:uiPriority w:val="99"/>
    <w:semiHidden/>
    <w:rsid w:val="00885D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J/6JMKxp8M6bFyuleImKKlkEA==">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Ruscon</dc:creator>
  <cp:lastModifiedBy>Camille Grosjean</cp:lastModifiedBy>
  <cp:revision>1</cp:revision>
  <dcterms:created xsi:type="dcterms:W3CDTF">2020-07-28T16:10:00Z</dcterms:created>
  <dcterms:modified xsi:type="dcterms:W3CDTF">2024-03-29T14:34:00Z</dcterms:modified>
</cp:coreProperties>
</file>