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9279" w14:textId="1F49E395" w:rsidR="008347DF" w:rsidRDefault="008347DF">
      <w:pPr>
        <w:spacing w:line="276" w:lineRule="auto"/>
        <w:ind w:left="0" w:firstLine="0"/>
        <w:jc w:val="both"/>
        <w:rPr>
          <w:rFonts w:ascii="Arial" w:eastAsia="Arial" w:hAnsi="Arial" w:cs="Arial"/>
          <w:b/>
        </w:rPr>
      </w:pPr>
    </w:p>
    <w:p w14:paraId="50950426" w14:textId="77777777" w:rsidR="008347DF" w:rsidRDefault="008347DF">
      <w:pPr>
        <w:ind w:left="65"/>
        <w:rPr>
          <w:sz w:val="2"/>
          <w:szCs w:val="2"/>
        </w:rPr>
      </w:pPr>
    </w:p>
    <w:tbl>
      <w:tblPr>
        <w:tblStyle w:val="a1"/>
        <w:tblW w:w="1030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935"/>
      </w:tblGrid>
      <w:tr w:rsidR="008347DF" w14:paraId="59BBACAF" w14:textId="77777777">
        <w:trPr>
          <w:trHeight w:val="1740"/>
          <w:jc w:val="center"/>
        </w:trPr>
        <w:tc>
          <w:tcPr>
            <w:tcW w:w="10305" w:type="dxa"/>
            <w:gridSpan w:val="2"/>
            <w:tcBorders>
              <w:right w:val="nil"/>
            </w:tcBorders>
            <w:shd w:val="clear" w:color="auto" w:fill="3D85C6"/>
            <w:tcMar>
              <w:top w:w="181" w:type="dxa"/>
              <w:left w:w="181" w:type="dxa"/>
              <w:bottom w:w="181" w:type="dxa"/>
              <w:right w:w="181" w:type="dxa"/>
            </w:tcMar>
          </w:tcPr>
          <w:p w14:paraId="7FCCF79F" w14:textId="77777777" w:rsidR="008347DF" w:rsidRDefault="00931082">
            <w:pPr>
              <w:keepNext/>
              <w:keepLines/>
              <w:spacing w:after="60" w:line="276" w:lineRule="auto"/>
              <w:rPr>
                <w:b/>
                <w:color w:val="FFFFFF"/>
                <w:sz w:val="48"/>
                <w:szCs w:val="48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color w:val="FFFFFF"/>
                <w:sz w:val="48"/>
                <w:szCs w:val="48"/>
              </w:rPr>
              <w:t>Страхование</w:t>
            </w:r>
            <w:proofErr w:type="spellEnd"/>
            <w:r>
              <w:rPr>
                <w:b/>
                <w:color w:val="FFFFFF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color w:val="FFFFFF"/>
                <w:sz w:val="48"/>
                <w:szCs w:val="48"/>
              </w:rPr>
              <w:t>погашения</w:t>
            </w:r>
            <w:proofErr w:type="spellEnd"/>
            <w:r>
              <w:rPr>
                <w:b/>
                <w:color w:val="FFFFFF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color w:val="FFFFFF"/>
                <w:sz w:val="48"/>
                <w:szCs w:val="48"/>
              </w:rPr>
              <w:t>вкладов</w:t>
            </w:r>
            <w:proofErr w:type="spellEnd"/>
            <w:r>
              <w:rPr>
                <w:b/>
                <w:color w:val="FFFFFF"/>
                <w:sz w:val="48"/>
                <w:szCs w:val="48"/>
              </w:rPr>
              <w:t xml:space="preserve"> </w:t>
            </w:r>
          </w:p>
          <w:p w14:paraId="75449C73" w14:textId="77777777" w:rsidR="008347DF" w:rsidRDefault="00931082">
            <w:pPr>
              <w:pStyle w:val="Sous-titre"/>
            </w:pPr>
            <w:bookmarkStart w:id="1" w:name="_heading=h.30j0zll" w:colFirst="0" w:colLast="0"/>
            <w:bookmarkEnd w:id="1"/>
            <w:proofErr w:type="spellStart"/>
            <w:r>
              <w:t>Документ</w:t>
            </w:r>
            <w:proofErr w:type="spellEnd"/>
            <w:r>
              <w:t xml:space="preserve"> о </w:t>
            </w:r>
            <w:proofErr w:type="spellStart"/>
            <w:r>
              <w:t>раскрытии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о </w:t>
            </w:r>
            <w:proofErr w:type="spellStart"/>
            <w:r>
              <w:t>страховом</w:t>
            </w:r>
            <w:proofErr w:type="spellEnd"/>
            <w:r>
              <w:t xml:space="preserve"> </w:t>
            </w:r>
            <w:proofErr w:type="spellStart"/>
            <w:r>
              <w:t>продукте</w:t>
            </w:r>
            <w:proofErr w:type="spellEnd"/>
          </w:p>
          <w:p w14:paraId="6432D432" w14:textId="77777777" w:rsidR="008347DF" w:rsidRDefault="00931082">
            <w:pPr>
              <w:spacing w:before="120" w:line="276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Компания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Seyna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, SA с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капиталом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€1 115 800,42,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юридический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адрес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: 20 bis rue Louis-Philippe, 92200 Neuilly sur Seine,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зарегистрированная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Торговом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реестре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Нантера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под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номером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843 974 635,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компания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регулируемая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Страховым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кодексом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  <w:p w14:paraId="0D037C13" w14:textId="77777777" w:rsidR="008347DF" w:rsidRDefault="00931082">
            <w:pPr>
              <w:spacing w:line="276" w:lineRule="auto"/>
              <w:ind w:left="0" w:firstLine="0"/>
              <w:rPr>
                <w:color w:val="FFFFFF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Продукт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Погашение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депозита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Click &amp; Boat</w:t>
            </w:r>
          </w:p>
        </w:tc>
      </w:tr>
      <w:tr w:rsidR="008347DF" w14:paraId="0B1E1674" w14:textId="77777777">
        <w:trPr>
          <w:trHeight w:val="460"/>
          <w:jc w:val="center"/>
        </w:trPr>
        <w:tc>
          <w:tcPr>
            <w:tcW w:w="10305" w:type="dxa"/>
            <w:gridSpan w:val="2"/>
            <w:tcBorders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C8FDE" w14:textId="77777777" w:rsidR="008347DF" w:rsidRDefault="00931082">
            <w:pPr>
              <w:spacing w:before="120"/>
              <w:ind w:left="0" w:firstLine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Данный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информационный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документ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представляет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собой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краткое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изложение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основных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гарантий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исключений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договора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n°2sn46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Погашение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депозита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полная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информационная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брошюра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которого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доступна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запросу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сайте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Click&amp;Boat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будет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отправлена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почте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после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подтверждения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Вашего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членства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учитывает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ваши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конкретные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потребности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запросы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B87E668" w14:textId="77777777" w:rsidR="008347DF" w:rsidRDefault="008347DF">
            <w:pPr>
              <w:ind w:left="0" w:firstLine="0"/>
            </w:pPr>
          </w:p>
          <w:p w14:paraId="479EE472" w14:textId="77777777" w:rsidR="008347DF" w:rsidRDefault="00931082">
            <w:pPr>
              <w:keepNext/>
              <w:keepLines/>
              <w:spacing w:after="120"/>
              <w:ind w:left="0" w:firstLine="0"/>
              <w:rPr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proofErr w:type="spellStart"/>
            <w:r>
              <w:rPr>
                <w:b/>
                <w:sz w:val="28"/>
                <w:szCs w:val="28"/>
              </w:rPr>
              <w:t>Что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это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страхования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35AEB9E3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Страхование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Выкуп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депозита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является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добровольным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групповым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договором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целью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которого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является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возмещение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части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депозита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принятого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рамках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бронирования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случае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повреждения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окончании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срока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действия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договора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аренды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указанной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347DF" w14:paraId="019EACDA" w14:textId="77777777">
        <w:trPr>
          <w:trHeight w:val="460"/>
          <w:jc w:val="center"/>
        </w:trPr>
        <w:tc>
          <w:tcPr>
            <w:tcW w:w="5370" w:type="dxa"/>
            <w:vMerge w:val="restart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2394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7184AC8D" wp14:editId="09DC99D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1372" cy="409575"/>
                  <wp:effectExtent l="0" t="0" r="0" b="0"/>
                  <wp:wrapSquare wrapText="bothSides" distT="57150" distB="57150" distL="57150" distR="5715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72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71AA86" w14:textId="77777777" w:rsidR="008347DF" w:rsidRDefault="00931082">
            <w:pPr>
              <w:keepNext/>
              <w:keepLines/>
              <w:spacing w:after="120"/>
              <w:ind w:left="566" w:right="229" w:firstLine="65"/>
              <w:rPr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Что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застраховано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28A7B4A4" w14:textId="77777777" w:rsidR="008347DF" w:rsidRDefault="00931082">
            <w:pPr>
              <w:spacing w:before="120"/>
              <w:ind w:left="0" w:right="149" w:firstLine="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Гарантии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которым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предшествует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галочка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6F06368D" wp14:editId="5C67A593">
                  <wp:extent cx="129231" cy="1440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систематически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предусматриваются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договоре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44C9C8E0" w14:textId="77777777" w:rsidR="008347DF" w:rsidRDefault="008347DF">
            <w:pPr>
              <w:ind w:left="0" w:firstLine="0"/>
            </w:pPr>
          </w:p>
          <w:p w14:paraId="0C2C164A" w14:textId="77777777" w:rsidR="008347DF" w:rsidRDefault="00931082">
            <w:pPr>
              <w:numPr>
                <w:ilvl w:val="0"/>
                <w:numId w:val="4"/>
              </w:numPr>
              <w:ind w:left="566" w:right="22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Возврат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части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депозита</w:t>
            </w:r>
            <w:proofErr w:type="spellEnd"/>
          </w:p>
          <w:p w14:paraId="125FD15A" w14:textId="77777777" w:rsidR="008347DF" w:rsidRDefault="008347DF">
            <w:pPr>
              <w:ind w:left="0" w:right="229" w:firstLine="0"/>
            </w:pPr>
          </w:p>
          <w:p w14:paraId="00EF3394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Лимит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потолок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: 1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разовая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претензия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период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пределах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лимита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суммы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депозита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взятого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рамках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бронирования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при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условии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вычета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франшизы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размере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20%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от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этой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вычитаемой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суммы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при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этом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минимум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евро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включая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НДС и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максимум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5 000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евро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>включая</w:t>
            </w:r>
            <w:proofErr w:type="spellEnd"/>
            <w:r>
              <w:rPr>
                <w:rFonts w:ascii="Arial" w:eastAsia="Arial" w:hAnsi="Arial" w:cs="Arial"/>
                <w:color w:val="1A2226"/>
                <w:sz w:val="20"/>
                <w:szCs w:val="20"/>
              </w:rPr>
              <w:t xml:space="preserve"> НДС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9A6BFC" w14:textId="77777777" w:rsidR="008347DF" w:rsidRDefault="008347DF">
            <w:pPr>
              <w:ind w:left="720" w:right="229" w:firstLine="0"/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9DBC" w14:textId="77777777" w:rsidR="008347DF" w:rsidRDefault="00931082">
            <w:pPr>
              <w:keepNext/>
              <w:keepLines/>
              <w:spacing w:after="120"/>
              <w:ind w:left="566" w:firstLine="65"/>
            </w:pPr>
            <w:bookmarkStart w:id="5" w:name="_heading=h.tyjcwt" w:colFirst="0" w:colLast="0"/>
            <w:bookmarkEnd w:id="5"/>
            <w:r>
              <w:t xml:space="preserve"> </w:t>
            </w:r>
            <w:r>
              <w:rPr>
                <w:noProof/>
              </w:rPr>
              <w:drawing>
                <wp:anchor distT="57150" distB="57150" distL="57150" distR="57150" simplePos="0" relativeHeight="251659264" behindDoc="0" locked="0" layoutInCell="1" hidden="0" allowOverlap="1" wp14:anchorId="0F47D70A" wp14:editId="52115D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377904" cy="394335"/>
                  <wp:effectExtent l="0" t="0" r="0" b="0"/>
                  <wp:wrapSquare wrapText="bothSides" distT="57150" distB="57150" distL="57150" distR="5715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4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08E5A1" w14:textId="77777777" w:rsidR="008347DF" w:rsidRDefault="00931082">
            <w:pPr>
              <w:keepNext/>
              <w:keepLines/>
              <w:spacing w:after="120"/>
              <w:ind w:left="566" w:right="225" w:firstLine="65"/>
              <w:rPr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  <w:proofErr w:type="spellStart"/>
            <w:r>
              <w:rPr>
                <w:b/>
                <w:sz w:val="28"/>
                <w:szCs w:val="28"/>
              </w:rPr>
              <w:t>Что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застраховано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335E0B09" w14:textId="77777777" w:rsidR="008347DF" w:rsidRDefault="008347DF">
            <w:pPr>
              <w:ind w:left="566" w:right="225"/>
            </w:pPr>
          </w:p>
          <w:p w14:paraId="39DA1EED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соревнованиях</w:t>
            </w:r>
            <w:proofErr w:type="spellEnd"/>
          </w:p>
          <w:p w14:paraId="7FE14EF3" w14:textId="77777777" w:rsidR="008347DF" w:rsidRDefault="00931082">
            <w:pPr>
              <w:numPr>
                <w:ilvl w:val="0"/>
                <w:numId w:val="1"/>
              </w:numPr>
              <w:ind w:left="566" w:right="2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вспомогательное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оборудование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бип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швертбот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шлюпочный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двигатель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8347DF" w14:paraId="5627145B" w14:textId="77777777">
        <w:trPr>
          <w:trHeight w:val="420"/>
          <w:jc w:val="center"/>
        </w:trPr>
        <w:tc>
          <w:tcPr>
            <w:tcW w:w="5370" w:type="dxa"/>
            <w:vMerge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9E250" w14:textId="77777777" w:rsidR="008347DF" w:rsidRDefault="008347DF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BFCF7" w14:textId="77777777" w:rsidR="008347DF" w:rsidRDefault="00931082">
            <w:pPr>
              <w:keepNext/>
              <w:keepLines/>
              <w:spacing w:after="120"/>
              <w:ind w:left="566" w:right="219" w:firstLine="65"/>
              <w:rPr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Существуют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какие-либо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исключения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страхового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покрытия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  <w:r>
              <w:rPr>
                <w:noProof/>
              </w:rPr>
              <w:drawing>
                <wp:anchor distT="57150" distB="57150" distL="57150" distR="57150" simplePos="0" relativeHeight="251660288" behindDoc="0" locked="0" layoutInCell="1" hidden="0" allowOverlap="1" wp14:anchorId="7F4CDE8D" wp14:editId="4302D3C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58140" cy="373380"/>
                  <wp:effectExtent l="0" t="0" r="0" b="0"/>
                  <wp:wrapSquare wrapText="bothSides" distT="57150" distB="57150" distL="57150" distR="5715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34763B" w14:textId="77777777" w:rsidR="008347DF" w:rsidRDefault="00931082">
            <w:pPr>
              <w:ind w:left="566" w:right="2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Основные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исключения</w:t>
            </w:r>
            <w:proofErr w:type="spellEnd"/>
          </w:p>
          <w:p w14:paraId="63A8A1DA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Профессиональное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</w:p>
          <w:p w14:paraId="57562207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Поломка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</w:p>
          <w:p w14:paraId="1E644DB9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Кража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оборудования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арматуры</w:t>
            </w:r>
            <w:proofErr w:type="spellEnd"/>
          </w:p>
          <w:p w14:paraId="09066A42" w14:textId="77777777" w:rsidR="008347DF" w:rsidRDefault="00931082">
            <w:pPr>
              <w:numPr>
                <w:ilvl w:val="0"/>
                <w:numId w:val="5"/>
              </w:numPr>
              <w:ind w:left="566" w:right="219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Пренебрегать</w:t>
            </w:r>
            <w:proofErr w:type="spellEnd"/>
          </w:p>
        </w:tc>
      </w:tr>
      <w:tr w:rsidR="008347DF" w14:paraId="37448D4F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4D19C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noProof/>
              </w:rPr>
              <w:lastRenderedPageBreak/>
              <w:drawing>
                <wp:anchor distT="57150" distB="57150" distL="57150" distR="57150" simplePos="0" relativeHeight="251661312" behindDoc="0" locked="0" layoutInCell="1" hidden="0" allowOverlap="1" wp14:anchorId="5E83BCEE" wp14:editId="7EF3DA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81173" cy="405765"/>
                  <wp:effectExtent l="0" t="0" r="0" b="0"/>
                  <wp:wrapSquare wrapText="bothSides" distT="57150" distB="57150" distL="57150" distR="5715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73" cy="405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2A0C63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proofErr w:type="spellStart"/>
            <w:r>
              <w:rPr>
                <w:b/>
                <w:sz w:val="28"/>
                <w:szCs w:val="28"/>
              </w:rPr>
              <w:t>Где</w:t>
            </w:r>
            <w:proofErr w:type="spellEnd"/>
            <w:r>
              <w:rPr>
                <w:b/>
                <w:sz w:val="28"/>
                <w:szCs w:val="28"/>
              </w:rPr>
              <w:t xml:space="preserve"> 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застрахован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1B2A0D15" w14:textId="77777777" w:rsidR="008347DF" w:rsidRDefault="00931082">
            <w:pPr>
              <w:numPr>
                <w:ilvl w:val="0"/>
                <w:numId w:val="2"/>
              </w:numPr>
              <w:spacing w:before="120"/>
              <w:ind w:right="62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всему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миру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Однако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возврат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будет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произведен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евро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Страховщик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оплачивает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эквивалентную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стоимость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валюте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страны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проживания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страхователя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какие-либо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банковские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сборы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взимаемые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банком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страхователя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8347DF" w14:paraId="5B6B69E7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DEFC2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0" w:name="_heading=h.17dp8vu" w:colFirst="0" w:colLast="0"/>
            <w:bookmarkEnd w:id="10"/>
            <w:r>
              <w:rPr>
                <w:noProof/>
              </w:rPr>
              <w:drawing>
                <wp:anchor distT="57150" distB="57150" distL="57150" distR="57150" simplePos="0" relativeHeight="251662336" behindDoc="0" locked="0" layoutInCell="1" hidden="0" allowOverlap="1" wp14:anchorId="6C0EFA2F" wp14:editId="15A0C9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394335" cy="400695"/>
                  <wp:effectExtent l="0" t="0" r="0" b="0"/>
                  <wp:wrapSquare wrapText="bothSides" distT="57150" distB="57150" distL="57150" distR="5715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40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13BA12" w14:textId="77777777" w:rsidR="008347DF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</w:rPr>
            </w:pPr>
            <w:bookmarkStart w:id="11" w:name="_heading=h.3rdcrjn" w:colFirst="0" w:colLast="0"/>
            <w:bookmarkEnd w:id="11"/>
            <w:proofErr w:type="spellStart"/>
            <w:r>
              <w:rPr>
                <w:b/>
                <w:sz w:val="28"/>
                <w:szCs w:val="28"/>
              </w:rPr>
              <w:t>Каковы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обязательства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59D62126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При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присоединении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proofErr w:type="gramEnd"/>
          </w:p>
          <w:p w14:paraId="06C29C21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Оплатите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страховую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премию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2EC51FC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процессе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присоединения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proofErr w:type="gramEnd"/>
          </w:p>
          <w:p w14:paraId="6F1232FF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информировать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дилер-менеджера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случае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изменения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обстоятельств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83B439E" w14:textId="77777777" w:rsidR="008347DF" w:rsidRDefault="00931082">
            <w:pPr>
              <w:numPr>
                <w:ilvl w:val="0"/>
                <w:numId w:val="3"/>
              </w:numPr>
              <w:ind w:right="1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случае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предъявления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претензии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proofErr w:type="gramEnd"/>
          </w:p>
          <w:p w14:paraId="049DDC4B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сообщать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любых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претензиях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сроки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соответствии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процедурами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изложенными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статье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Информационного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уведомления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718DF32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предоставить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запрошенные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подтверждающие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документы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5037529C" w14:textId="77777777" w:rsidR="008347DF" w:rsidRDefault="00931082">
            <w:pPr>
              <w:numPr>
                <w:ilvl w:val="1"/>
                <w:numId w:val="3"/>
              </w:numPr>
              <w:ind w:righ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Воздержитесь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самостоятельного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ремонта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имущества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5691584" w14:textId="77777777" w:rsidR="008347DF" w:rsidRDefault="008347DF">
            <w:pPr>
              <w:ind w:left="0" w:right="203" w:firstLine="0"/>
            </w:pPr>
          </w:p>
        </w:tc>
      </w:tr>
      <w:tr w:rsidR="008347DF" w14:paraId="6830F746" w14:textId="77777777">
        <w:trPr>
          <w:trHeight w:val="255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B3FC" w14:textId="77777777" w:rsidR="008347DF" w:rsidRDefault="00931082">
            <w:pPr>
              <w:keepNext/>
              <w:keepLines/>
              <w:spacing w:after="120"/>
              <w:ind w:left="566" w:hanging="425"/>
              <w:rPr>
                <w:b/>
                <w:sz w:val="28"/>
                <w:szCs w:val="28"/>
              </w:rPr>
            </w:pPr>
            <w:bookmarkStart w:id="12" w:name="_heading=h.26in1rg" w:colFirst="0" w:colLast="0"/>
            <w:bookmarkEnd w:id="12"/>
            <w:r>
              <w:rPr>
                <w:noProof/>
              </w:rPr>
              <w:drawing>
                <wp:anchor distT="57150" distB="57150" distL="57150" distR="57150" simplePos="0" relativeHeight="251663360" behindDoc="0" locked="0" layoutInCell="1" hidden="0" allowOverlap="1" wp14:anchorId="5464A06C" wp14:editId="336B352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09044" cy="422910"/>
                  <wp:effectExtent l="0" t="0" r="0" b="0"/>
                  <wp:wrapSquare wrapText="bothSides" distT="57150" distB="57150" distL="57150" distR="5715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4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67A80E" w14:textId="77777777" w:rsidR="008347DF" w:rsidRDefault="00931082">
            <w:pPr>
              <w:keepNext/>
              <w:keepLines/>
              <w:spacing w:after="120"/>
              <w:ind w:left="566" w:right="203" w:hanging="425"/>
              <w:rPr>
                <w:b/>
                <w:sz w:val="28"/>
                <w:szCs w:val="28"/>
              </w:rPr>
            </w:pPr>
            <w:bookmarkStart w:id="13" w:name="_heading=h.lnxbz9" w:colFirst="0" w:colLast="0"/>
            <w:bookmarkEnd w:id="13"/>
            <w:proofErr w:type="spellStart"/>
            <w:r>
              <w:rPr>
                <w:b/>
                <w:sz w:val="28"/>
                <w:szCs w:val="28"/>
              </w:rPr>
              <w:t>Когда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как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совершать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платежи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24A7154D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премия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рассчитывается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исходя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суммы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залога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количества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дней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аренды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Сумма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указана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Свидетельстве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членстве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8E8FA53" w14:textId="77777777" w:rsidR="008347DF" w:rsidRDefault="008347DF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D80357" w14:textId="77777777" w:rsidR="008347DF" w:rsidRDefault="00931082">
            <w:pPr>
              <w:ind w:left="0" w:firstLine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Страховая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премия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выплачивается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Дистрибьютору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полном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объеме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подписания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Договора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6604FB7E" w14:textId="77777777" w:rsidR="008347DF" w:rsidRDefault="008347DF">
            <w:pPr>
              <w:ind w:left="566" w:hanging="425"/>
            </w:pPr>
          </w:p>
        </w:tc>
      </w:tr>
      <w:tr w:rsidR="008347DF" w14:paraId="577D5BAE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B24DA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4" w:name="_heading=h.35nkun2" w:colFirst="0" w:colLast="0"/>
            <w:bookmarkEnd w:id="14"/>
            <w:r>
              <w:rPr>
                <w:noProof/>
              </w:rPr>
              <w:drawing>
                <wp:anchor distT="57150" distB="57150" distL="57150" distR="57150" simplePos="0" relativeHeight="251664384" behindDoc="0" locked="0" layoutInCell="1" hidden="0" allowOverlap="1" wp14:anchorId="32E25AC1" wp14:editId="30C06C3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3385" cy="434405"/>
                  <wp:effectExtent l="0" t="0" r="0" b="0"/>
                  <wp:wrapSquare wrapText="bothSides" distT="57150" distB="57150" distL="57150" distR="5715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3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1192AB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5" w:name="_heading=h.1ksv4uv" w:colFirst="0" w:colLast="0"/>
            <w:bookmarkEnd w:id="15"/>
            <w:proofErr w:type="spellStart"/>
            <w:r>
              <w:rPr>
                <w:b/>
                <w:sz w:val="28"/>
                <w:szCs w:val="28"/>
              </w:rPr>
              <w:t>Когда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начинается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когда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заканчивается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7F346AE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Гарантия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вступает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силу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день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когда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участник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вступает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владение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заканчивается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момента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возврата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8F7313D" w14:textId="77777777" w:rsidR="008347DF" w:rsidRDefault="00931082">
            <w:pPr>
              <w:ind w:left="0" w:firstLine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Гарантия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имеет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действия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договор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аренды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Лодки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может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быть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досрочно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расторгнута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случаях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указанных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Статье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7.2. </w:t>
            </w:r>
          </w:p>
          <w:p w14:paraId="5E289F8A" w14:textId="77777777" w:rsidR="008347DF" w:rsidRDefault="008347DF"/>
        </w:tc>
      </w:tr>
      <w:tr w:rsidR="008347DF" w14:paraId="1EBB81AA" w14:textId="77777777">
        <w:trPr>
          <w:trHeight w:val="420"/>
          <w:jc w:val="center"/>
        </w:trPr>
        <w:tc>
          <w:tcPr>
            <w:tcW w:w="10305" w:type="dxa"/>
            <w:gridSpan w:val="2"/>
            <w:tcBorders>
              <w:left w:val="nil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30749" w14:textId="77777777" w:rsidR="008347DF" w:rsidRDefault="00931082">
            <w:pPr>
              <w:keepNext/>
              <w:keepLines/>
              <w:spacing w:after="120"/>
              <w:rPr>
                <w:b/>
                <w:sz w:val="28"/>
                <w:szCs w:val="28"/>
              </w:rPr>
            </w:pPr>
            <w:bookmarkStart w:id="16" w:name="_heading=h.44sinio" w:colFirst="0" w:colLast="0"/>
            <w:bookmarkEnd w:id="16"/>
            <w:r>
              <w:rPr>
                <w:noProof/>
              </w:rPr>
              <w:drawing>
                <wp:anchor distT="57150" distB="57150" distL="57150" distR="57150" simplePos="0" relativeHeight="251665408" behindDoc="0" locked="0" layoutInCell="1" hidden="0" allowOverlap="1" wp14:anchorId="6103519D" wp14:editId="575EEE9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05765" cy="419520"/>
                  <wp:effectExtent l="0" t="0" r="0" b="0"/>
                  <wp:wrapSquare wrapText="bothSides" distT="57150" distB="57150" distL="57150" distR="5715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19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AB7CFE" w14:textId="77777777" w:rsidR="008347DF" w:rsidRDefault="00931082">
            <w:pPr>
              <w:keepNext/>
              <w:keepLines/>
              <w:spacing w:after="120"/>
              <w:ind w:right="203"/>
              <w:rPr>
                <w:b/>
                <w:sz w:val="28"/>
                <w:szCs w:val="28"/>
              </w:rPr>
            </w:pPr>
            <w:bookmarkStart w:id="17" w:name="_heading=h.2jxsxqh" w:colFirst="0" w:colLast="0"/>
            <w:bookmarkEnd w:id="17"/>
            <w:proofErr w:type="spellStart"/>
            <w:r>
              <w:rPr>
                <w:b/>
                <w:sz w:val="28"/>
                <w:szCs w:val="28"/>
              </w:rPr>
              <w:t>Как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расторгнуть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договор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  <w:proofErr w:type="gramEnd"/>
          </w:p>
          <w:p w14:paraId="44E717AE" w14:textId="77777777" w:rsidR="008347DF" w:rsidRDefault="00931082">
            <w:pPr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Членство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может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быть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прекращено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Дилер-менеджера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условиях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изложенных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Информационном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уведомлении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0844E44" w14:textId="77777777" w:rsidR="008347DF" w:rsidRDefault="008347DF"/>
        </w:tc>
      </w:tr>
    </w:tbl>
    <w:p w14:paraId="1A6A0D15" w14:textId="7C2B2C28" w:rsidR="008347DF" w:rsidRDefault="008347DF">
      <w:pPr>
        <w:ind w:left="0" w:firstLine="0"/>
        <w:rPr>
          <w:sz w:val="2"/>
          <w:szCs w:val="2"/>
        </w:rPr>
      </w:pPr>
    </w:p>
    <w:sectPr w:rsidR="008347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53"/>
    <w:multiLevelType w:val="multilevel"/>
    <w:tmpl w:val="25CEC20E"/>
    <w:lvl w:ilvl="0">
      <w:start w:val="1"/>
      <w:numFmt w:val="bullet"/>
      <w:lvlText w:val="!"/>
      <w:lvlJc w:val="left"/>
      <w:pPr>
        <w:ind w:left="720" w:hanging="360"/>
      </w:pPr>
      <w:rPr>
        <w:rFonts w:ascii="Arial" w:eastAsia="Arial" w:hAnsi="Arial" w:cs="Arial"/>
        <w:b/>
        <w:color w:val="FF99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3867"/>
    <w:multiLevelType w:val="multilevel"/>
    <w:tmpl w:val="FC08741C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12EA7"/>
    <w:multiLevelType w:val="multilevel"/>
    <w:tmpl w:val="E620EB64"/>
    <w:lvl w:ilvl="0">
      <w:start w:val="1"/>
      <w:numFmt w:val="bullet"/>
      <w:lvlText w:val="✔"/>
      <w:lvlJc w:val="left"/>
      <w:pPr>
        <w:ind w:left="720" w:hanging="360"/>
      </w:pPr>
      <w:rPr>
        <w:color w:val="93C47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15E69"/>
    <w:multiLevelType w:val="multilevel"/>
    <w:tmpl w:val="50E84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36EDB"/>
    <w:multiLevelType w:val="multilevel"/>
    <w:tmpl w:val="2ED06A7C"/>
    <w:lvl w:ilvl="0">
      <w:start w:val="1"/>
      <w:numFmt w:val="bullet"/>
      <w:lvlText w:val="✘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3366427">
    <w:abstractNumId w:val="4"/>
  </w:num>
  <w:num w:numId="2" w16cid:durableId="923340506">
    <w:abstractNumId w:val="1"/>
  </w:num>
  <w:num w:numId="3" w16cid:durableId="1399673132">
    <w:abstractNumId w:val="3"/>
  </w:num>
  <w:num w:numId="4" w16cid:durableId="181675976">
    <w:abstractNumId w:val="2"/>
  </w:num>
  <w:num w:numId="5" w16cid:durableId="163355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DF"/>
    <w:rsid w:val="005218B8"/>
    <w:rsid w:val="008347DF"/>
    <w:rsid w:val="009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329BB"/>
  <w15:docId w15:val="{37889286-F652-7E44-83E7-83E3315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ind w:left="425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after="120"/>
      <w:outlineLvl w:val="1"/>
    </w:pPr>
    <w:rPr>
      <w:b/>
      <w:sz w:val="28"/>
      <w:szCs w:val="28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after="60" w:line="276" w:lineRule="auto"/>
    </w:pPr>
    <w:rPr>
      <w:b/>
      <w:color w:val="FFFFFF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color w:val="FFFFFF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38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C9"/>
    <w:rPr>
      <w:rFonts w:ascii="Lucida Grande" w:hAnsi="Lucida Grande" w:cs="Lucida Grande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218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J/6JMKxp8M6bFyuleImKKlkEA==">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Ruscon</dc:creator>
  <cp:lastModifiedBy>Camille Grosjean</cp:lastModifiedBy>
  <cp:revision>1</cp:revision>
  <dcterms:created xsi:type="dcterms:W3CDTF">2020-07-28T16:10:00Z</dcterms:created>
  <dcterms:modified xsi:type="dcterms:W3CDTF">2024-03-29T14:30:00Z</dcterms:modified>
</cp:coreProperties>
</file>